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205105</wp:posOffset>
            </wp:positionH>
            <wp:positionV relativeFrom="page">
              <wp:posOffset>727710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686435</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 SECURITIES AND EXCHANGE COMMISSION</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143"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0" w:lineRule="exact"/>
        <w:rPr>
          <w:sz w:val="24"/>
          <w:szCs w:val="24"/>
          <w:color w:val="auto"/>
        </w:rPr>
      </w:pPr>
    </w:p>
    <w:p>
      <w:pPr>
        <w:spacing w:after="0" w:line="219"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72" w:lineRule="exact"/>
        <w:rPr>
          <w:sz w:val="24"/>
          <w:szCs w:val="24"/>
          <w:color w:val="auto"/>
        </w:rPr>
      </w:pPr>
    </w:p>
    <w:p>
      <w:pPr>
        <w:ind w:left="620"/>
        <w:spacing w:after="0"/>
        <w:rPr>
          <w:sz w:val="20"/>
          <w:szCs w:val="20"/>
          <w:color w:val="auto"/>
        </w:rPr>
      </w:pPr>
      <w:r>
        <w:rPr>
          <w:rFonts w:ascii="Arial" w:cs="Arial" w:eastAsia="Arial" w:hAnsi="Arial"/>
          <w:sz w:val="16"/>
          <w:szCs w:val="16"/>
          <w:b w:val="1"/>
          <w:bCs w:val="1"/>
          <w:color w:val="auto"/>
        </w:rPr>
        <w:t>For the quarterly period ended June 30, 2024</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95" w:lineRule="exact"/>
        <w:rPr>
          <w:sz w:val="24"/>
          <w:szCs w:val="24"/>
          <w:color w:val="auto"/>
        </w:rPr>
      </w:pPr>
    </w:p>
    <w:p>
      <w:pPr>
        <w:ind w:left="340" w:hanging="337"/>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72" w:lineRule="exact"/>
        <w:rPr>
          <w:sz w:val="24"/>
          <w:szCs w:val="24"/>
          <w:color w:val="auto"/>
        </w:rPr>
      </w:pPr>
    </w:p>
    <w:p>
      <w:pPr>
        <w:ind w:left="620"/>
        <w:spacing w:after="0"/>
        <w:tabs>
          <w:tab w:leader="none" w:pos="3160" w:val="left"/>
        </w:tabs>
        <w:rPr>
          <w:sz w:val="20"/>
          <w:szCs w:val="20"/>
          <w:color w:val="auto"/>
        </w:rPr>
      </w:pPr>
      <w:r>
        <w:rPr>
          <w:rFonts w:ascii="Arial" w:cs="Arial" w:eastAsia="Arial" w:hAnsi="Arial"/>
          <w:sz w:val="16"/>
          <w:szCs w:val="16"/>
          <w:b w:val="1"/>
          <w:bCs w:val="1"/>
          <w:color w:val="auto"/>
        </w:rPr>
        <w:t>For the transition period from</w:t>
        <w:tab/>
        <w:t>to</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0-50231</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Federal National Mortgage Association</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Fannie Mae</w:t>
      </w:r>
    </w:p>
    <w:p>
      <w:pPr>
        <w:spacing w:after="0" w:line="129" w:lineRule="exact"/>
        <w:rPr>
          <w:sz w:val="24"/>
          <w:szCs w:val="24"/>
          <w:color w:val="auto"/>
        </w:rPr>
      </w:pPr>
    </w:p>
    <w:tbl>
      <w:tblPr>
        <w:tblLayout w:type="fixed"/>
        <w:tblInd w:w="320" w:type="dxa"/>
        <w:tblCellMar>
          <w:top w:w="0" w:type="dxa"/>
          <w:left w:w="0" w:type="dxa"/>
          <w:bottom w:w="0" w:type="dxa"/>
          <w:right w:w="0" w:type="dxa"/>
        </w:tblCellMar>
      </w:tblPr>
      <w:tr>
        <w:trPr>
          <w:trHeight w:val="227"/>
        </w:trPr>
        <w:tc>
          <w:tcPr>
            <w:tcW w:w="29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Federally chartered corporation</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52-0883107</w:t>
            </w: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1100 15th Street, NW</w:t>
            </w:r>
          </w:p>
        </w:tc>
        <w:tc>
          <w:tcPr>
            <w:tcW w:w="2960" w:type="dxa"/>
            <w:vAlign w:val="bottom"/>
            <w:tcBorders>
              <w:top w:val="single" w:sz="8" w:color="auto"/>
            </w:tcBorders>
          </w:tcPr>
          <w:p>
            <w:pPr>
              <w:jc w:val="right"/>
              <w:ind w:right="848"/>
              <w:spacing w:after="0"/>
              <w:rPr>
                <w:sz w:val="20"/>
                <w:szCs w:val="20"/>
                <w:color w:val="auto"/>
              </w:rPr>
            </w:pPr>
            <w:r>
              <w:rPr>
                <w:rFonts w:ascii="Arial" w:cs="Arial" w:eastAsia="Arial" w:hAnsi="Arial"/>
                <w:sz w:val="15"/>
                <w:szCs w:val="15"/>
                <w:b w:val="1"/>
                <w:bCs w:val="1"/>
                <w:color w:val="auto"/>
              </w:rPr>
              <w:t>800  232-6643</w:t>
            </w:r>
          </w:p>
        </w:tc>
      </w:tr>
      <w:tr>
        <w:trPr>
          <w:trHeight w:val="668"/>
        </w:trPr>
        <w:tc>
          <w:tcPr>
            <w:tcW w:w="2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5"/>
                <w:szCs w:val="15"/>
                <w:b w:val="1"/>
                <w:bCs w:val="1"/>
                <w:color w:val="auto"/>
              </w:rPr>
              <w:t>Washington,  DC  20005</w:t>
            </w:r>
          </w:p>
        </w:tc>
        <w:tc>
          <w:tcPr>
            <w:tcW w:w="2960" w:type="dxa"/>
            <w:vAlign w:val="bottom"/>
          </w:tcPr>
          <w:p>
            <w:pPr>
              <w:spacing w:after="0"/>
              <w:rPr>
                <w:sz w:val="24"/>
                <w:szCs w:val="24"/>
                <w:color w:val="auto"/>
              </w:rPr>
            </w:pPr>
          </w:p>
        </w:tc>
      </w:tr>
      <w:tr>
        <w:trPr>
          <w:trHeight w:val="142"/>
        </w:trPr>
        <w:tc>
          <w:tcPr>
            <w:tcW w:w="298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8"/>
              </w:rPr>
              <w:t>(State or other jurisdiction of</w:t>
            </w:r>
          </w:p>
        </w:tc>
        <w:tc>
          <w:tcPr>
            <w:tcW w:w="172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7"/>
              </w:rPr>
              <w:t>(I.R.S. Employer</w:t>
            </w:r>
          </w:p>
        </w:tc>
        <w:tc>
          <w:tcPr>
            <w:tcW w:w="296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7"/>
              </w:rPr>
              <w:t>(Address of principal executive offices,</w:t>
            </w:r>
          </w:p>
        </w:tc>
        <w:tc>
          <w:tcPr>
            <w:tcW w:w="2960" w:type="dxa"/>
            <w:vAlign w:val="bottom"/>
          </w:tcPr>
          <w:p>
            <w:pPr>
              <w:jc w:val="center"/>
              <w:ind w:left="88"/>
              <w:spacing w:after="0" w:line="142" w:lineRule="exact"/>
              <w:rPr>
                <w:sz w:val="20"/>
                <w:szCs w:val="20"/>
                <w:color w:val="auto"/>
              </w:rPr>
            </w:pPr>
            <w:r>
              <w:rPr>
                <w:rFonts w:ascii="Arial" w:cs="Arial" w:eastAsia="Arial" w:hAnsi="Arial"/>
                <w:sz w:val="14"/>
                <w:szCs w:val="14"/>
                <w:i w:val="1"/>
                <w:iCs w:val="1"/>
                <w:color w:val="auto"/>
                <w:w w:val="97"/>
              </w:rPr>
              <w:t>(Registrant’s telephone number, including</w:t>
            </w:r>
          </w:p>
        </w:tc>
      </w:tr>
      <w:tr>
        <w:trPr>
          <w:trHeight w:val="175"/>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incorporation or organization)</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9"/>
              </w:rPr>
              <w:t>Identification No.)</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including zip code)</w:t>
            </w:r>
          </w:p>
        </w:tc>
        <w:tc>
          <w:tcPr>
            <w:tcW w:w="296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i w:val="1"/>
                <w:iCs w:val="1"/>
                <w:color w:val="auto"/>
                <w:w w:val="98"/>
              </w:rPr>
              <w:t>area code)</w:t>
            </w:r>
          </w:p>
        </w:tc>
      </w:tr>
    </w:tbl>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3" w:lineRule="exact"/>
        <w:rPr>
          <w:sz w:val="24"/>
          <w:szCs w:val="24"/>
          <w:color w:val="auto"/>
        </w:rPr>
      </w:pPr>
    </w:p>
    <w:tbl>
      <w:tblPr>
        <w:tblLayout w:type="fixed"/>
        <w:tblInd w:w="10" w:type="dxa"/>
        <w:tblCellMar>
          <w:top w:w="0" w:type="dxa"/>
          <w:left w:w="0" w:type="dxa"/>
          <w:bottom w:w="0" w:type="dxa"/>
          <w:right w:w="0" w:type="dxa"/>
        </w:tblCellMar>
      </w:tblPr>
      <w:tr>
        <w:trPr>
          <w:trHeight w:val="219"/>
        </w:trPr>
        <w:tc>
          <w:tcPr>
            <w:tcW w:w="244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5"/>
                <w:szCs w:val="15"/>
                <w:b w:val="1"/>
                <w:bCs w:val="1"/>
                <w:color w:val="auto"/>
              </w:rPr>
              <w:t>Title of each class</w:t>
            </w:r>
          </w:p>
        </w:tc>
        <w:tc>
          <w:tcPr>
            <w:tcW w:w="242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5"/>
                <w:szCs w:val="15"/>
                <w:b w:val="1"/>
                <w:bCs w:val="1"/>
                <w:color w:val="auto"/>
              </w:rPr>
              <w:t>Trading Symbol(s)</w:t>
            </w:r>
          </w:p>
        </w:tc>
        <w:tc>
          <w:tcPr>
            <w:tcW w:w="6400" w:type="dxa"/>
            <w:vAlign w:val="bottom"/>
            <w:tcBorders>
              <w:top w:val="single" w:sz="8" w:color="auto"/>
              <w:bottom w:val="single" w:sz="8" w:color="auto"/>
              <w:right w:val="single" w:sz="8" w:color="auto"/>
            </w:tcBorders>
          </w:tcPr>
          <w:p>
            <w:pPr>
              <w:ind w:left="1560"/>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198"/>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None</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N/A</w:t>
            </w: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N/A</w:t>
            </w:r>
          </w:p>
        </w:tc>
      </w:tr>
    </w:tbl>
    <w:p>
      <w:pPr>
        <w:spacing w:after="0" w:line="133" w:lineRule="exact"/>
        <w:rPr>
          <w:sz w:val="24"/>
          <w:szCs w:val="24"/>
          <w:color w:val="auto"/>
        </w:rPr>
      </w:pPr>
    </w:p>
    <w:p>
      <w:pPr>
        <w:jc w:val="both"/>
        <w:ind w:right="40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2" w:lineRule="exact"/>
        <w:rPr>
          <w:sz w:val="24"/>
          <w:szCs w:val="24"/>
          <w:color w:val="auto"/>
        </w:rPr>
      </w:pPr>
    </w:p>
    <w:p>
      <w:pPr>
        <w:ind w:right="42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ind w:right="140"/>
        <w:spacing w:after="0" w:line="27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360" w:type="dxa"/>
        <w:tblCellMar>
          <w:top w:w="0" w:type="dxa"/>
          <w:left w:w="0" w:type="dxa"/>
          <w:bottom w:w="0" w:type="dxa"/>
          <w:right w:w="0" w:type="dxa"/>
        </w:tblCellMar>
      </w:tblPr>
      <w:tr>
        <w:trPr>
          <w:trHeight w:val="229"/>
        </w:trPr>
        <w:tc>
          <w:tcPr>
            <w:tcW w:w="18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1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860" w:type="dxa"/>
            <w:vAlign w:val="bottom"/>
          </w:tcPr>
          <w:p>
            <w:pPr>
              <w:ind w:left="2620"/>
              <w:spacing w:after="0"/>
              <w:rPr>
                <w:sz w:val="20"/>
                <w:szCs w:val="20"/>
                <w:color w:val="auto"/>
              </w:rPr>
            </w:pPr>
            <w:r>
              <w:rPr>
                <w:rFonts w:ascii="Arial" w:cs="Arial" w:eastAsia="Arial" w:hAnsi="Arial"/>
                <w:sz w:val="15"/>
                <w:szCs w:val="15"/>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6"/>
        </w:trPr>
        <w:tc>
          <w:tcPr>
            <w:tcW w:w="1880" w:type="dxa"/>
            <w:vAlign w:val="bottom"/>
          </w:tcPr>
          <w:p>
            <w:pPr>
              <w:spacing w:after="0"/>
              <w:rPr>
                <w:sz w:val="20"/>
                <w:szCs w:val="20"/>
                <w:color w:val="auto"/>
              </w:rPr>
            </w:pPr>
            <w:r>
              <w:rPr>
                <w:rFonts w:ascii="Arial" w:cs="Arial" w:eastAsia="Arial" w:hAnsi="Arial"/>
                <w:sz w:val="15"/>
                <w:szCs w:val="15"/>
                <w:color w:val="auto"/>
              </w:rPr>
              <w:t>Non-accelerated filer</w:t>
            </w:r>
          </w:p>
        </w:tc>
        <w:tc>
          <w:tcPr>
            <w:tcW w:w="31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860" w:type="dxa"/>
            <w:vAlign w:val="bottom"/>
          </w:tcPr>
          <w:p>
            <w:pPr>
              <w:ind w:left="2620"/>
              <w:spacing w:after="0"/>
              <w:rPr>
                <w:sz w:val="20"/>
                <w:szCs w:val="20"/>
                <w:color w:val="auto"/>
              </w:rPr>
            </w:pPr>
            <w:r>
              <w:rPr>
                <w:rFonts w:ascii="Arial" w:cs="Arial" w:eastAsia="Arial" w:hAnsi="Arial"/>
                <w:sz w:val="15"/>
                <w:szCs w:val="15"/>
                <w:color w:val="auto"/>
              </w:rPr>
              <w:t>Smaller reporting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18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860" w:type="dxa"/>
            <w:vAlign w:val="bottom"/>
          </w:tcPr>
          <w:p>
            <w:pPr>
              <w:ind w:left="2620"/>
              <w:spacing w:after="0"/>
              <w:rPr>
                <w:sz w:val="20"/>
                <w:szCs w:val="20"/>
                <w:color w:val="auto"/>
              </w:rPr>
            </w:pPr>
            <w:r>
              <w:rPr>
                <w:rFonts w:ascii="Arial" w:cs="Arial" w:eastAsia="Arial" w:hAnsi="Arial"/>
                <w:sz w:val="15"/>
                <w:szCs w:val="15"/>
                <w:color w:val="auto"/>
              </w:rPr>
              <w:t>Emerging growth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14" w:lineRule="exact"/>
        <w:rPr>
          <w:sz w:val="24"/>
          <w:szCs w:val="24"/>
          <w:color w:val="auto"/>
        </w:rPr>
      </w:pPr>
    </w:p>
    <w:p>
      <w:pPr>
        <w:ind w:right="80"/>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200"/>
        <w:spacing w:after="0" w:line="300" w:lineRule="exact"/>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12, 2024, there were 1,158,087,567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707390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106045</wp:posOffset>
            </wp:positionV>
            <wp:extent cx="71139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390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81915</wp:posOffset>
            </wp:positionV>
            <wp:extent cx="7113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ectPr>
          <w:pgSz w:w="11900" w:h="16838" w:orient="portrait"/>
          <w:cols w:equalWidth="0" w:num="1">
            <w:col w:w="11260"/>
          </w:cols>
          <w:pgMar w:left="320" w:top="1285"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4"/>
          <w:szCs w:val="24"/>
          <w:b w:val="1"/>
          <w:bCs w:val="1"/>
          <w:color w:val="05314D"/>
        </w:rPr>
        <w:t>TABLE OF CONTENTS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tcBorders>
              <w:top w:val="single" w:sz="8" w:color="2C6937"/>
              <w:bottom w:val="single" w:sz="8" w:color="2C6937"/>
            </w:tcBorders>
            <w:gridSpan w:val="2"/>
            <w:vMerge w:val="restart"/>
          </w:tcPr>
          <w:p>
            <w:pPr>
              <w:ind w:left="20"/>
              <w:spacing w:after="0"/>
              <w:rPr>
                <w:sz w:val="20"/>
                <w:szCs w:val="20"/>
                <w:color w:val="auto"/>
              </w:rPr>
            </w:pPr>
            <w:r>
              <w:rPr>
                <w:rFonts w:ascii="Arial" w:cs="Arial" w:eastAsia="Arial" w:hAnsi="Arial"/>
                <w:sz w:val="15"/>
                <w:szCs w:val="15"/>
                <w:b w:val="1"/>
                <w:bCs w:val="1"/>
                <w:color w:val="auto"/>
              </w:rPr>
              <w:t>PART I—Financial Information</w:t>
            </w:r>
          </w:p>
        </w:tc>
        <w:tc>
          <w:tcPr>
            <w:tcW w:w="1580" w:type="dxa"/>
            <w:vAlign w:val="bottom"/>
            <w:tcBorders>
              <w:top w:val="single" w:sz="8" w:color="2C6937"/>
            </w:tcBorders>
          </w:tcPr>
          <w:p>
            <w:pPr>
              <w:spacing w:after="0"/>
              <w:rPr>
                <w:sz w:val="15"/>
                <w:szCs w:val="15"/>
                <w:color w:val="auto"/>
              </w:rPr>
            </w:pPr>
          </w:p>
        </w:tc>
        <w:tc>
          <w:tcPr>
            <w:tcW w:w="420" w:type="dxa"/>
            <w:vAlign w:val="bottom"/>
            <w:tcBorders>
              <w:top w:val="single" w:sz="8" w:color="2C6937"/>
              <w:bottom w:val="single" w:sz="8" w:color="auto"/>
            </w:tcBorders>
          </w:tcPr>
          <w:p>
            <w:pPr>
              <w:spacing w:after="0"/>
              <w:rPr>
                <w:sz w:val="20"/>
                <w:szCs w:val="20"/>
                <w:color w:val="auto"/>
              </w:rPr>
            </w:pPr>
            <w:r>
              <w:rPr>
                <w:rFonts w:ascii="Arial" w:cs="Arial" w:eastAsia="Arial" w:hAnsi="Arial"/>
                <w:sz w:val="15"/>
                <w:szCs w:val="15"/>
                <w:b w:val="1"/>
                <w:bCs w:val="1"/>
                <w:color w:val="auto"/>
              </w:rPr>
              <w:t>Page</w:t>
            </w:r>
          </w:p>
        </w:tc>
        <w:tc>
          <w:tcPr>
            <w:tcW w:w="120" w:type="dxa"/>
            <w:vAlign w:val="bottom"/>
            <w:tcBorders>
              <w:top w:val="single" w:sz="8" w:color="2C6937"/>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100" w:type="dxa"/>
            <w:vAlign w:val="bottom"/>
            <w:gridSpan w:val="2"/>
            <w:vMerge w:val="continue"/>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0" w:type="dxa"/>
            <w:vAlign w:val="bottom"/>
          </w:tcPr>
          <w:p>
            <w:pPr>
              <w:ind w:left="20"/>
              <w:spacing w:after="0"/>
              <w:rPr>
                <w:sz w:val="20"/>
                <w:szCs w:val="20"/>
                <w:color w:val="auto"/>
              </w:rPr>
            </w:pPr>
            <w:r>
              <w:rPr>
                <w:rFonts w:ascii="Arial" w:cs="Arial" w:eastAsia="Arial" w:hAnsi="Arial"/>
                <w:sz w:val="15"/>
                <w:szCs w:val="15"/>
                <w:color w:val="auto"/>
              </w:rPr>
              <w:t>Item 1.</w:t>
            </w:r>
          </w:p>
        </w:tc>
        <w:tc>
          <w:tcPr>
            <w:tcW w:w="8340" w:type="dxa"/>
            <w:vAlign w:val="bottom"/>
          </w:tcPr>
          <w:p>
            <w:pPr>
              <w:ind w:left="280"/>
              <w:spacing w:after="0"/>
              <w:rPr>
                <w:sz w:val="20"/>
                <w:szCs w:val="20"/>
                <w:color w:val="auto"/>
              </w:rPr>
            </w:pPr>
            <w:r>
              <w:rPr>
                <w:rFonts w:ascii="Arial" w:cs="Arial" w:eastAsia="Arial" w:hAnsi="Arial"/>
                <w:sz w:val="15"/>
                <w:szCs w:val="15"/>
                <w:color w:val="auto"/>
              </w:rPr>
              <w:t>Financial Statements</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8340" w:type="dxa"/>
            <w:vAlign w:val="bottom"/>
          </w:tcPr>
          <w:p>
            <w:pPr>
              <w:ind w:left="280"/>
              <w:spacing w:after="0" w:line="169" w:lineRule="exact"/>
              <w:rPr>
                <w:sz w:val="20"/>
                <w:szCs w:val="20"/>
                <w:color w:val="auto"/>
              </w:rPr>
            </w:pPr>
            <w:r>
              <w:rPr>
                <w:rFonts w:ascii="Arial" w:cs="Arial" w:eastAsia="Arial" w:hAnsi="Arial"/>
                <w:sz w:val="15"/>
                <w:szCs w:val="15"/>
                <w:color w:val="auto"/>
              </w:rPr>
              <w:t>Condensed Consolidated Balance Sheets</w:t>
            </w:r>
          </w:p>
        </w:tc>
        <w:tc>
          <w:tcPr>
            <w:tcW w:w="2000" w:type="dxa"/>
            <w:vAlign w:val="bottom"/>
            <w:gridSpan w:val="2"/>
          </w:tcPr>
          <w:p>
            <w:pPr>
              <w:spacing w:after="0"/>
              <w:rPr>
                <w:sz w:val="14"/>
                <w:szCs w:val="1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Operations and Comprehensive Income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Cash Flows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Changes in Equity</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1—Summary of Significant Accounting Policies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2—Conservatorship, Senior Preferred Stock Purchase Agreement and Related Matters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3—Consolidations and Transfers of Financial Assets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4—Mortgage Loans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5—Allowance for Loan Losses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6—Investments in Securities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7—Financial Guarantees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8—Short-Term and Long-Term Debt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9—Derivative Instruments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10—Segment Reporting</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11—Concentrations of Credit Risk</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12—Netting Arrangements</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13—Fair Value</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14—Commitments and Contingencies</w:t>
            </w:r>
          </w:p>
        </w:tc>
        <w:tc>
          <w:tcPr>
            <w:tcW w:w="2120" w:type="dxa"/>
            <w:vAlign w:val="bottom"/>
            <w:gridSpan w:val="4"/>
          </w:tcPr>
          <w:p>
            <w:pPr>
              <w:jc w:val="right"/>
              <w:ind w:right="20"/>
              <w:spacing w:after="0"/>
              <w:rPr>
                <w:sz w:val="20"/>
                <w:szCs w:val="20"/>
                <w:color w:val="auto"/>
              </w:rPr>
            </w:pPr>
            <w:r>
              <w:rPr>
                <w:rFonts w:ascii="Arial" w:cs="Arial" w:eastAsia="Arial" w:hAnsi="Arial"/>
                <w:sz w:val="15"/>
                <w:szCs w:val="15"/>
                <w:color w:val="0000FF"/>
              </w:rPr>
              <w:t>111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15—Regulatory Capital Requirements</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5"/>
                <w:szCs w:val="15"/>
                <w:color w:val="auto"/>
              </w:rPr>
              <w:t>Item 2.</w:t>
            </w:r>
          </w:p>
        </w:tc>
        <w:tc>
          <w:tcPr>
            <w:tcW w:w="8340" w:type="dxa"/>
            <w:vAlign w:val="bottom"/>
          </w:tcPr>
          <w:p>
            <w:pPr>
              <w:ind w:left="28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2000" w:type="dxa"/>
            <w:vAlign w:val="bottom"/>
            <w:gridSpan w:val="2"/>
          </w:tcPr>
          <w:p>
            <w:pPr>
              <w:spacing w:after="0"/>
              <w:rPr>
                <w:sz w:val="16"/>
                <w:szCs w:val="16"/>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About Fannie Mae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Executive Summary</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Legislation and Regulation</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Key Market Economic Indicators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Results of Operations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Balance Sheet Analysis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Retained Mortgage Portfolio</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Guaranty Book of Business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Business Segments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Single-Family Business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 Market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Mortgage-Related Securities Issuances Share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Business Metrics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Business Financial Results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 Credit 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Multifamily Business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Mortgage Market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Business Metrics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Business Financial Results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Mortgage Credit 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Credit Ratios and Select Credit Information</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Liquidity and Capital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Market Risk Management, including Interest-Rate 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Critical Accounting Estimates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Impact of Future Adoption of New Accounting Guidance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Forward-Looking Statements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5"/>
                <w:szCs w:val="15"/>
                <w:color w:val="auto"/>
              </w:rPr>
              <w:t>Item 3.</w:t>
            </w:r>
          </w:p>
        </w:tc>
        <w:tc>
          <w:tcPr>
            <w:tcW w:w="8340" w:type="dxa"/>
            <w:vAlign w:val="bottom"/>
          </w:tcPr>
          <w:p>
            <w:pPr>
              <w:ind w:left="280"/>
              <w:spacing w:after="0"/>
              <w:rPr>
                <w:sz w:val="20"/>
                <w:szCs w:val="20"/>
                <w:color w:val="auto"/>
              </w:rPr>
            </w:pPr>
            <w:r>
              <w:rPr>
                <w:rFonts w:ascii="Arial" w:cs="Arial" w:eastAsia="Arial" w:hAnsi="Arial"/>
                <w:sz w:val="15"/>
                <w:szCs w:val="15"/>
                <w:color w:val="auto"/>
              </w:rPr>
              <w:t>Quantitative and Qualitative Disclosures about Market Risk</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474980</wp:posOffset>
            </wp:positionV>
            <wp:extent cx="7007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0"/>
        <w:spacing w:after="0"/>
        <w:tabs>
          <w:tab w:leader="none" w:pos="11060" w:val="left"/>
        </w:tabs>
        <w:rPr>
          <w:sz w:val="20"/>
          <w:szCs w:val="20"/>
          <w:color w:val="auto"/>
        </w:rPr>
      </w:pPr>
      <w:r>
        <w:rPr>
          <w:rFonts w:ascii="Arial" w:cs="Arial" w:eastAsia="Arial" w:hAnsi="Arial"/>
          <w:sz w:val="14"/>
          <w:szCs w:val="14"/>
          <w:color w:val="05314D"/>
        </w:rPr>
        <w:t>Fannie Mae Second Quarter 2024 Form 10-Q</w:t>
      </w:r>
      <w:r>
        <w:rPr>
          <w:sz w:val="20"/>
          <w:szCs w:val="20"/>
          <w:color w:val="auto"/>
        </w:rPr>
        <w:tab/>
      </w:r>
      <w:r>
        <w:rPr>
          <w:rFonts w:ascii="Arial" w:cs="Arial" w:eastAsia="Arial" w:hAnsi="Arial"/>
          <w:sz w:val="9"/>
          <w:szCs w:val="9"/>
          <w:color w:val="05314D"/>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127000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3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800" w:type="dxa"/>
            <w:vAlign w:val="bottom"/>
          </w:tcPr>
          <w:p>
            <w:pPr>
              <w:spacing w:after="0"/>
              <w:rPr>
                <w:sz w:val="20"/>
                <w:szCs w:val="20"/>
                <w:color w:val="auto"/>
              </w:rPr>
            </w:pPr>
            <w:r>
              <w:rPr>
                <w:rFonts w:ascii="Arial" w:cs="Arial" w:eastAsia="Arial" w:hAnsi="Arial"/>
                <w:sz w:val="15"/>
                <w:szCs w:val="15"/>
                <w:color w:val="auto"/>
              </w:rPr>
              <w:t>Item 4.</w:t>
            </w:r>
          </w:p>
        </w:tc>
        <w:tc>
          <w:tcPr>
            <w:tcW w:w="10120" w:type="dxa"/>
            <w:vAlign w:val="bottom"/>
          </w:tcPr>
          <w:p>
            <w:pPr>
              <w:ind w:left="220"/>
              <w:spacing w:after="0"/>
              <w:rPr>
                <w:sz w:val="20"/>
                <w:szCs w:val="20"/>
                <w:color w:val="auto"/>
              </w:rPr>
            </w:pPr>
            <w:r>
              <w:rPr>
                <w:rFonts w:ascii="Arial" w:cs="Arial" w:eastAsia="Arial" w:hAnsi="Arial"/>
                <w:sz w:val="15"/>
                <w:szCs w:val="15"/>
                <w:color w:val="auto"/>
              </w:rPr>
              <w:t>Controls and Procedures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114</w:t>
            </w:r>
          </w:p>
        </w:tc>
      </w:tr>
      <w:tr>
        <w:trPr>
          <w:trHeight w:val="186"/>
        </w:trPr>
        <w:tc>
          <w:tcPr>
            <w:tcW w:w="10920" w:type="dxa"/>
            <w:vAlign w:val="bottom"/>
            <w:gridSpan w:val="2"/>
          </w:tcPr>
          <w:p>
            <w:pPr>
              <w:spacing w:after="0"/>
              <w:rPr>
                <w:sz w:val="20"/>
                <w:szCs w:val="20"/>
                <w:color w:val="auto"/>
              </w:rPr>
            </w:pPr>
            <w:r>
              <w:rPr>
                <w:rFonts w:ascii="Arial" w:cs="Arial" w:eastAsia="Arial" w:hAnsi="Arial"/>
                <w:sz w:val="15"/>
                <w:szCs w:val="15"/>
                <w:b w:val="1"/>
                <w:bCs w:val="1"/>
                <w:color w:val="auto"/>
              </w:rPr>
              <w:t>PART II—Other Information</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116</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1.</w:t>
            </w:r>
          </w:p>
        </w:tc>
        <w:tc>
          <w:tcPr>
            <w:tcW w:w="10120" w:type="dxa"/>
            <w:vAlign w:val="bottom"/>
          </w:tcPr>
          <w:p>
            <w:pPr>
              <w:ind w:left="220"/>
              <w:spacing w:after="0"/>
              <w:rPr>
                <w:sz w:val="20"/>
                <w:szCs w:val="20"/>
                <w:color w:val="auto"/>
              </w:rPr>
            </w:pPr>
            <w:r>
              <w:rPr>
                <w:rFonts w:ascii="Arial" w:cs="Arial" w:eastAsia="Arial" w:hAnsi="Arial"/>
                <w:sz w:val="15"/>
                <w:szCs w:val="15"/>
                <w:color w:val="auto"/>
              </w:rPr>
              <w:t>Legal Proceedings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116</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1A.</w:t>
            </w:r>
          </w:p>
        </w:tc>
        <w:tc>
          <w:tcPr>
            <w:tcW w:w="10120" w:type="dxa"/>
            <w:vAlign w:val="bottom"/>
          </w:tcPr>
          <w:p>
            <w:pPr>
              <w:ind w:left="220"/>
              <w:spacing w:after="0"/>
              <w:rPr>
                <w:sz w:val="20"/>
                <w:szCs w:val="20"/>
                <w:color w:val="auto"/>
              </w:rPr>
            </w:pPr>
            <w:r>
              <w:rPr>
                <w:rFonts w:ascii="Arial" w:cs="Arial" w:eastAsia="Arial" w:hAnsi="Arial"/>
                <w:sz w:val="15"/>
                <w:szCs w:val="15"/>
                <w:color w:val="auto"/>
              </w:rPr>
              <w:t>Risk Factors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117</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2.</w:t>
            </w:r>
          </w:p>
        </w:tc>
        <w:tc>
          <w:tcPr>
            <w:tcW w:w="10120" w:type="dxa"/>
            <w:vAlign w:val="bottom"/>
          </w:tcPr>
          <w:p>
            <w:pPr>
              <w:ind w:left="220"/>
              <w:spacing w:after="0"/>
              <w:rPr>
                <w:sz w:val="20"/>
                <w:szCs w:val="20"/>
                <w:color w:val="auto"/>
              </w:rPr>
            </w:pPr>
            <w:r>
              <w:rPr>
                <w:rFonts w:ascii="Arial" w:cs="Arial" w:eastAsia="Arial" w:hAnsi="Arial"/>
                <w:sz w:val="15"/>
                <w:szCs w:val="15"/>
                <w:color w:val="auto"/>
              </w:rPr>
              <w:t>Unregistered Sales of Equity Securities and Use of Proceeds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117</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3.</w:t>
            </w:r>
          </w:p>
        </w:tc>
        <w:tc>
          <w:tcPr>
            <w:tcW w:w="10120" w:type="dxa"/>
            <w:vAlign w:val="bottom"/>
          </w:tcPr>
          <w:p>
            <w:pPr>
              <w:ind w:left="220"/>
              <w:spacing w:after="0"/>
              <w:rPr>
                <w:sz w:val="20"/>
                <w:szCs w:val="20"/>
                <w:color w:val="auto"/>
              </w:rPr>
            </w:pPr>
            <w:r>
              <w:rPr>
                <w:rFonts w:ascii="Arial" w:cs="Arial" w:eastAsia="Arial" w:hAnsi="Arial"/>
                <w:sz w:val="15"/>
                <w:szCs w:val="15"/>
                <w:color w:val="auto"/>
              </w:rPr>
              <w:t>Defaults Upon Senior Securities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119</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4.</w:t>
            </w:r>
          </w:p>
        </w:tc>
        <w:tc>
          <w:tcPr>
            <w:tcW w:w="10120" w:type="dxa"/>
            <w:vAlign w:val="bottom"/>
          </w:tcPr>
          <w:p>
            <w:pPr>
              <w:ind w:left="220"/>
              <w:spacing w:after="0"/>
              <w:rPr>
                <w:sz w:val="20"/>
                <w:szCs w:val="20"/>
                <w:color w:val="auto"/>
              </w:rPr>
            </w:pPr>
            <w:r>
              <w:rPr>
                <w:rFonts w:ascii="Arial" w:cs="Arial" w:eastAsia="Arial" w:hAnsi="Arial"/>
                <w:sz w:val="15"/>
                <w:szCs w:val="15"/>
                <w:color w:val="auto"/>
              </w:rPr>
              <w:t>Mine Safety Disclosures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119</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5.</w:t>
            </w:r>
          </w:p>
        </w:tc>
        <w:tc>
          <w:tcPr>
            <w:tcW w:w="10120" w:type="dxa"/>
            <w:vAlign w:val="bottom"/>
          </w:tcPr>
          <w:p>
            <w:pPr>
              <w:ind w:left="220"/>
              <w:spacing w:after="0"/>
              <w:rPr>
                <w:sz w:val="20"/>
                <w:szCs w:val="20"/>
                <w:color w:val="auto"/>
              </w:rPr>
            </w:pPr>
            <w:r>
              <w:rPr>
                <w:rFonts w:ascii="Arial" w:cs="Arial" w:eastAsia="Arial" w:hAnsi="Arial"/>
                <w:sz w:val="15"/>
                <w:szCs w:val="15"/>
                <w:color w:val="auto"/>
              </w:rPr>
              <w:t>Other Information</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119</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6.</w:t>
            </w:r>
          </w:p>
        </w:tc>
        <w:tc>
          <w:tcPr>
            <w:tcW w:w="10120" w:type="dxa"/>
            <w:vAlign w:val="bottom"/>
          </w:tcPr>
          <w:p>
            <w:pPr>
              <w:ind w:left="220"/>
              <w:spacing w:after="0"/>
              <w:rPr>
                <w:sz w:val="20"/>
                <w:szCs w:val="20"/>
                <w:color w:val="auto"/>
              </w:rPr>
            </w:pPr>
            <w:r>
              <w:rPr>
                <w:rFonts w:ascii="Arial" w:cs="Arial" w:eastAsia="Arial" w:hAnsi="Arial"/>
                <w:sz w:val="15"/>
                <w:szCs w:val="15"/>
                <w:color w:val="auto"/>
              </w:rPr>
              <w:t>Exhibits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474980</wp:posOffset>
            </wp:positionV>
            <wp:extent cx="7007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spacing w:after="0"/>
        <w:tabs>
          <w:tab w:leader="none" w:pos="11000" w:val="left"/>
        </w:tabs>
        <w:rPr>
          <w:sz w:val="20"/>
          <w:szCs w:val="20"/>
          <w:color w:val="auto"/>
        </w:rPr>
      </w:pPr>
      <w:r>
        <w:rPr>
          <w:rFonts w:ascii="Arial" w:cs="Arial" w:eastAsia="Arial" w:hAnsi="Arial"/>
          <w:sz w:val="14"/>
          <w:szCs w:val="14"/>
          <w:color w:val="05314D"/>
        </w:rPr>
        <w:t>Fannie Mae Second Quarter 2024 Form 10-Q</w:t>
      </w:r>
      <w:r>
        <w:rPr>
          <w:sz w:val="20"/>
          <w:szCs w:val="20"/>
          <w:color w:val="auto"/>
        </w:rPr>
        <w:tab/>
      </w:r>
      <w:r>
        <w:rPr>
          <w:rFonts w:ascii="Arial" w:cs="Arial" w:eastAsia="Arial" w:hAnsi="Arial"/>
          <w:sz w:val="13"/>
          <w:szCs w:val="13"/>
          <w:color w:val="05314D"/>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127000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60" w:top="1398" w:right="359" w:bottom="1440" w:gutter="0" w:footer="0" w:header="0"/>
        </w:sectPr>
      </w:pPr>
    </w:p>
    <w:bookmarkStart w:id="3" w:name="page4"/>
    <w:bookmarkEnd w:id="3"/>
    <w:p>
      <w:pPr>
        <w:ind w:left="9480"/>
        <w:spacing w:after="0"/>
        <w:rPr>
          <w:sz w:val="20"/>
          <w:szCs w:val="20"/>
          <w:color w:val="auto"/>
        </w:rPr>
      </w:pPr>
      <w:r>
        <w:rPr>
          <w:rFonts w:ascii="Arial" w:cs="Arial" w:eastAsia="Arial" w:hAnsi="Arial"/>
          <w:sz w:val="14"/>
          <w:szCs w:val="14"/>
          <w:color w:val="001543"/>
        </w:rPr>
        <w:t>MD&amp;A | About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Georgia" w:cs="Georgia" w:eastAsia="Georgia" w:hAnsi="Georgia"/>
          <w:sz w:val="31"/>
          <w:szCs w:val="31"/>
          <w:b w:val="1"/>
          <w:bCs w:val="1"/>
          <w:color w:val="05314D"/>
        </w:rPr>
        <w:t>PART I—FINANCIAL INFORMATION</w:t>
      </w:r>
    </w:p>
    <w:p>
      <w:pPr>
        <w:spacing w:after="0" w:line="185" w:lineRule="exact"/>
        <w:rPr>
          <w:sz w:val="20"/>
          <w:szCs w:val="20"/>
          <w:color w:val="auto"/>
        </w:rPr>
      </w:pPr>
    </w:p>
    <w:p>
      <w:pPr>
        <w:ind w:right="720"/>
        <w:spacing w:after="0" w:line="254" w:lineRule="auto"/>
        <w:rPr>
          <w:sz w:val="20"/>
          <w:szCs w:val="20"/>
          <w:color w:val="auto"/>
        </w:rPr>
      </w:pPr>
      <w:r>
        <w:rPr>
          <w:rFonts w:ascii="Georgia" w:cs="Georgia" w:eastAsia="Georgia" w:hAnsi="Georgia"/>
          <w:sz w:val="27"/>
          <w:szCs w:val="27"/>
          <w:b w:val="1"/>
          <w:bCs w:val="1"/>
          <w:color w:val="05314D"/>
        </w:rPr>
        <w:t>Item 2. Management’s Discussion and Analysis of Financial Condition and Results of Operations</w:t>
      </w:r>
    </w:p>
    <w:p>
      <w:pPr>
        <w:spacing w:after="0" w:line="60"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i w:val="1"/>
          <w:iCs w:val="1"/>
          <w:color w:val="auto"/>
        </w:rPr>
        <w:t>You should read this Management’s Discussion and Analysis of Financial Condition and Results of Operations (“MD&amp;A”) in conjunction with our unaudited condensed consolidated financial statements and related notes in this report and the more detailed information in our annual report on Form 10-K for the year ended December 31, 2023 (“2023 Form 10-K”). You can find a “Glossary of Terms Used in This Report” in MD&amp;A in our 2023 Form 10-K.</w:t>
      </w:r>
    </w:p>
    <w:p>
      <w:pPr>
        <w:spacing w:after="0" w:line="47"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i w:val="1"/>
          <w:iCs w:val="1"/>
          <w:color w:val="auto"/>
        </w:rPr>
        <w:t>This report includes forward-looking statements based on management’s current expectations that are subject to significant uncertainties. Future events and our results may differ materially from those reflected in our forward-looking statements due to a variety of factors, including those discussed in “Forward-Looking Statements” and elsewhere in this report and in “Risk Factors” and elsewhere in our 2023 Form 10-K.</w:t>
      </w:r>
    </w:p>
    <w:p>
      <w:pPr>
        <w:spacing w:after="0" w:line="10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About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3"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Fannie Mae is a leading source of financing for residential mortgages in the United States. We provided $167.6 billion in liquidity to the mortgage market in the first half of 2024, which enabled the financing of approximately 610,000 home purchases, refinancings, and rental units.</w:t>
      </w:r>
    </w:p>
    <w:p>
      <w:pPr>
        <w:spacing w:after="0" w:line="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are a government-sponsored, stockholder-owned corporation, chartered by Congress to provide liquidity and stability to the U.S. housing market and to promote access to mortgage credit. We primarily do this by buying residential mortgage loans that are originated by lenders. We place these loans into trusts and issue guaranteed mortgage-backed securities (“MBS” or “Fannie Mae MBS”) that global investors buy from us. We do not originate mortgage loans or lend money directly to borrowers.</w:t>
      </w:r>
    </w:p>
    <w:p>
      <w:pPr>
        <w:spacing w:after="0" w:line="4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support both single-family and multifamily housing. Our Single-Family business provides financing for properties that have four or fewer residential units. Our Multifamily business provides financing for residential buildings with five or more units. As of March 31, 2024 (the latest date for which information is available), Fannie Mae owned or guaranteed an estimated 1 in 4 single-family mortgage loans in the United States and an estimated 21% of multifamily mortgage debt outstanding in the United States.</w:t>
      </w:r>
    </w:p>
    <w:p>
      <w:pPr>
        <w:spacing w:after="0" w:line="35"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We provide a guaranty on the MBS that we issue. If a borrower fails to make a payment on a mortgage loan that is included in a Fannie Mae MBS, we pay the shortfall amount to the MBS investor. In exchange for providing this guaranty, we receive a guaranty fee. Guaranty fees are the primary source of our revenues.</w:t>
      </w:r>
    </w:p>
    <w:p>
      <w:pPr>
        <w:spacing w:after="0" w:line="24" w:lineRule="exact"/>
        <w:rPr>
          <w:sz w:val="20"/>
          <w:szCs w:val="20"/>
          <w:color w:val="auto"/>
        </w:rPr>
      </w:pPr>
    </w:p>
    <w:p>
      <w:pPr>
        <w:jc w:val="both"/>
        <w:ind w:right="700"/>
        <w:spacing w:after="0" w:line="266" w:lineRule="auto"/>
        <w:rPr>
          <w:sz w:val="20"/>
          <w:szCs w:val="20"/>
          <w:color w:val="auto"/>
        </w:rPr>
      </w:pPr>
      <w:r>
        <w:rPr>
          <w:rFonts w:ascii="Arial" w:cs="Arial" w:eastAsia="Arial" w:hAnsi="Arial"/>
          <w:sz w:val="16"/>
          <w:szCs w:val="16"/>
          <w:color w:val="auto"/>
        </w:rPr>
        <w:t>Because we assume the credit risk for mortgage loans in our MBS, our earnings are affected by the credit performance of these loans. Credit risk management is therefore key to our business and financial results. To help manage our mortgage credit risk exposure, and in response to capital requirements, we transfer some of our credit risk exposure to third parties through credit risk transfer transactions and mortgage insurance. For a discussion of how we manage credit risk, see “MD&amp;A—Single-Family Business—Single-Family Mortgage Credit Risk Management” and “MD&amp;A— Multifamily Business—Multifamily Mortgage Credit Risk Management” in this report and in our 2023 Form 10-K.</w:t>
      </w:r>
    </w:p>
    <w:p>
      <w:pPr>
        <w:spacing w:after="0" w:line="3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We are in conservatorship, with the Federal Housing Finance Agency (“FHFA”) as our conservator. During conservatorship, our Board has no fiduciary duties to the company or its stockholders, as they owe their fiduciary duties of care and loyalty solely to FHFA as conservator. Conservatorship and our agreements with the U.S. Department of the Treasury (“Treasury”) significantly restrict our business activities and stockholder rights. For more information about the impact of conservatorship and these agreements on our business, stockholders, and our uncertain future, see “Business—Conservatorship and Treasury Agreements” and “Risk Factors—GSE and Conservatorship Risk” in our 2023 Form 10-K.</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80" w:type="dxa"/>
            <w:vAlign w:val="bottom"/>
            <w:tcBorders>
              <w:bottom w:val="single" w:sz="8" w:color="9A9A9A"/>
            </w:tcBorders>
          </w:tcPr>
          <w:p>
            <w:pPr>
              <w:spacing w:after="0"/>
              <w:rPr>
                <w:sz w:val="17"/>
                <w:szCs w:val="17"/>
                <w:color w:val="auto"/>
              </w:rPr>
            </w:pPr>
          </w:p>
        </w:tc>
        <w:tc>
          <w:tcPr>
            <w:tcW w:w="4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 w:name="page5"/>
    <w:bookmarkEnd w:id="4"/>
    <w:p>
      <w:pPr>
        <w:ind w:left="9380"/>
        <w:spacing w:after="0"/>
        <w:rPr>
          <w:sz w:val="20"/>
          <w:szCs w:val="20"/>
          <w:color w:val="auto"/>
        </w:rPr>
      </w:pPr>
      <w:r>
        <w:rPr>
          <w:rFonts w:ascii="Arial" w:cs="Arial" w:eastAsia="Arial" w:hAnsi="Arial"/>
          <w:sz w:val="14"/>
          <w:szCs w:val="14"/>
          <w:color w:val="001543"/>
        </w:rPr>
        <w:t>MD&amp;A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Please read this summary together with our MD&amp;A, our condensed consolidated financial statements as of June 30, 2024 and the accompanying notes.</w:t>
      </w:r>
    </w:p>
    <w:p>
      <w:pPr>
        <w:spacing w:after="0" w:line="13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Overview of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53975</wp:posOffset>
            </wp:positionV>
            <wp:extent cx="5419090" cy="2357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1909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Summary of Financial Results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Quarterly Results</w:t>
      </w:r>
    </w:p>
    <w:p>
      <w:pPr>
        <w:spacing w:after="0" w:line="80"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increased $231 million in the second quarter of 2024 compared with the second quarter of 2023.</w:t>
      </w:r>
    </w:p>
    <w:p>
      <w:pPr>
        <w:spacing w:after="0" w:line="86" w:lineRule="exact"/>
        <w:rPr>
          <w:rFonts w:ascii="Arial" w:cs="Arial" w:eastAsia="Arial" w:hAnsi="Arial"/>
          <w:sz w:val="16"/>
          <w:szCs w:val="16"/>
          <w:i w:val="1"/>
          <w:iCs w:val="1"/>
          <w:color w:val="auto"/>
        </w:rPr>
      </w:pPr>
    </w:p>
    <w:p>
      <w:pPr>
        <w:ind w:left="620" w:right="360" w:hanging="307"/>
        <w:spacing w:after="0" w:line="293" w:lineRule="auto"/>
        <w:tabs>
          <w:tab w:leader="none" w:pos="612"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decreased $510 million in the second quarter of 2024 compared with the second quarter of 2023, primarily driven by a decrease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for credit losses on single-family mortgage loans partially offset by an increase in net interest income.</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Year-to-Date Results</w:t>
      </w:r>
    </w:p>
    <w:p>
      <w:pPr>
        <w:spacing w:after="0" w:line="80"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increased $477 million in the first half of 2024 compared with the first half of 2023.</w:t>
      </w:r>
    </w:p>
    <w:p>
      <w:pPr>
        <w:spacing w:after="0" w:line="86" w:lineRule="exact"/>
        <w:rPr>
          <w:rFonts w:ascii="Arial" w:cs="Arial" w:eastAsia="Arial" w:hAnsi="Arial"/>
          <w:sz w:val="16"/>
          <w:szCs w:val="16"/>
          <w:i w:val="1"/>
          <w:iCs w:val="1"/>
          <w:color w:val="auto"/>
        </w:rPr>
      </w:pPr>
    </w:p>
    <w:p>
      <w:pPr>
        <w:ind w:left="620" w:right="80" w:hanging="307"/>
        <w:spacing w:after="0" w:line="293" w:lineRule="auto"/>
        <w:tabs>
          <w:tab w:leader="none" w:pos="612"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increased $38 million in the first half of 2024 compared with the first half of 2023, primarily driven by an increase in net interest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and an increase in fair value gains, partially offset by a decrease in benefit for credit losses on single-family mortgage loans.</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worth </w:t>
      </w:r>
      <w:r>
        <w:rPr>
          <w:rFonts w:ascii="Arial" w:cs="Arial" w:eastAsia="Arial" w:hAnsi="Arial"/>
          <w:sz w:val="16"/>
          <w:szCs w:val="16"/>
          <w:color w:val="auto"/>
        </w:rPr>
        <w:t>increased to $86.5 billion as of June 30, 2024 from $77.7 billion as of December 31, 2023.</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on the drivers of our financial results, see “Consolidated Results of Operations.”</w:t>
      </w:r>
    </w:p>
    <w:p>
      <w:pPr>
        <w:spacing w:after="0" w:line="18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The information in this section updates and supplements information regarding legislative, regulatory, conservatorship and other matters affecting our business set forth in “Business—Conservatorship and Treasury Agreements” and “Business—Legislation and Regulation” in our 2023 Form 10-K, as well as in “MD&amp;A—Legislation and Regulation” in our Form 10-Q for the quarter ended March 31, 2024 (“First Quarter 2024 Form 10-Q”). Also see “Risk Factors” in our 2023 Form 10-K for discussions of risks relating to legislative and regulatory matters.</w:t>
      </w:r>
    </w:p>
    <w:p>
      <w:pPr>
        <w:spacing w:after="0" w:line="79"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Tenant Protections</w:t>
      </w:r>
    </w:p>
    <w:p>
      <w:pPr>
        <w:spacing w:after="0" w:line="63" w:lineRule="exact"/>
        <w:rPr>
          <w:sz w:val="20"/>
          <w:szCs w:val="20"/>
          <w:color w:val="auto"/>
        </w:rPr>
      </w:pPr>
    </w:p>
    <w:p>
      <w:pPr>
        <w:jc w:val="both"/>
        <w:ind w:right="260"/>
        <w:spacing w:after="0" w:line="271" w:lineRule="auto"/>
        <w:rPr>
          <w:sz w:val="20"/>
          <w:szCs w:val="20"/>
          <w:color w:val="auto"/>
        </w:rPr>
      </w:pPr>
      <w:r>
        <w:rPr>
          <w:rFonts w:ascii="Arial" w:cs="Arial" w:eastAsia="Arial" w:hAnsi="Arial"/>
          <w:sz w:val="16"/>
          <w:szCs w:val="16"/>
          <w:color w:val="auto"/>
        </w:rPr>
        <w:t>In July 2024, FHFA established a new tenant protection policy that will be applicable to multifamily properties financed with mortgages backed by Fannie Mae and Freddie Mac. Under the policy, beginning February 28, 2025, covered multifamily borrowers who receive financing from Fannie Mae or Freddie Mac will be required to provide tenants: (1) a 30-day notice of a rent increase, (2) a 30-day notice of a lease term’s expiration, and (3) a minimum 5-day grace period for late rent payments.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80" w:type="dxa"/>
            <w:vAlign w:val="bottom"/>
            <w:tcBorders>
              <w:bottom w:val="single" w:sz="8" w:color="9A9A9A"/>
            </w:tcBorders>
          </w:tcPr>
          <w:p>
            <w:pPr>
              <w:spacing w:after="0"/>
              <w:rPr>
                <w:sz w:val="17"/>
                <w:szCs w:val="17"/>
                <w:color w:val="auto"/>
              </w:rPr>
            </w:pPr>
          </w:p>
        </w:tc>
        <w:tc>
          <w:tcPr>
            <w:tcW w:w="4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 w:name="page6"/>
    <w:bookmarkEnd w:id="5"/>
    <w:p>
      <w:pPr>
        <w:ind w:left="9000"/>
        <w:spacing w:after="0"/>
        <w:rPr>
          <w:sz w:val="20"/>
          <w:szCs w:val="20"/>
          <w:color w:val="auto"/>
        </w:rPr>
      </w:pPr>
      <w:r>
        <w:rPr>
          <w:rFonts w:ascii="Arial" w:cs="Arial" w:eastAsia="Arial" w:hAnsi="Arial"/>
          <w:sz w:val="14"/>
          <w:szCs w:val="14"/>
          <w:color w:val="001543"/>
        </w:rPr>
        <w:t>MD&amp;A | 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Quality Control Standards for Automated Valuation Models Final Rule</w:t>
      </w:r>
    </w:p>
    <w:p>
      <w:pPr>
        <w:spacing w:after="0" w:line="6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July 2024, FHFA and five other federal regulatory agencies issued a final rule to implement the quality control standards mandated by the Dodd-Frank Wall Street Reform and Consumer Protection Act for the use of automated valuation models (referred to as “AVMs”) by mortgage originators and secondary market issuers in determining the collateral worth of a mortgage secured by a consumer’s principal dwelling. Under the final rule, institutions that engage in certain credit decisions or securitization determinations must adopt policies, practices, procedures and control systems to: ensure that AVMs used in these transactions to determine the value of mortgage collateral adhere to quality control standards designed to ensure a high level of confidence in the estimates produced by AVMs; protect against the manipulation of data; seek to avoid conflicts of interest; require random sample testing and reviews; and comply with applicable nondiscrimination laws. The rule will become effective on the first day of the calendar quarter following the date that is 12 months after the date the rule is published in the Federal Register.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80" w:type="dxa"/>
            <w:vAlign w:val="bottom"/>
            <w:tcBorders>
              <w:bottom w:val="single" w:sz="8" w:color="9A9A9A"/>
            </w:tcBorders>
          </w:tcPr>
          <w:p>
            <w:pPr>
              <w:spacing w:after="0"/>
              <w:rPr>
                <w:sz w:val="16"/>
                <w:szCs w:val="16"/>
                <w:color w:val="auto"/>
              </w:rPr>
            </w:pPr>
          </w:p>
        </w:tc>
        <w:tc>
          <w:tcPr>
            <w:tcW w:w="41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 w:name="page7"/>
    <w:bookmarkEnd w:id="6"/>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In “MD&amp;A—Key Market Economic Indicators” in our 2023 Form 10-K, we discuss how varying macroeconomic conditions can influence our financial results across different business and economic environments, and we provide forecasts and expectations with respect to some of these macroeconomic conditions. Below we provide an update to these forecasts and expectations, as well as updates to certain macroeconomic information. Our forecasts and expectations are based on many assumptions, subject to many uncertainties and may change, perhaps substantially, from our current forecasts and expectations. See “Risk Factors” in our 2023 Form 10-K and “Forward-Looking Statements” in this report for a discussion of factors that could cause actual results to differ materially from our current forecasts and expectations.</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Interest Rates</w:t>
      </w:r>
    </w:p>
    <w:p>
      <w:pPr>
        <w:spacing w:after="0" w:line="102"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Selected Benchmark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15240</wp:posOffset>
            </wp:positionV>
            <wp:extent cx="5501005" cy="2357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0100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40" w:right="180" w:hanging="237"/>
        <w:spacing w:after="0" w:line="221" w:lineRule="auto"/>
        <w:tabs>
          <w:tab w:leader="none" w:pos="233"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Refers to the U.S. weekly average fixed-rate mortgage rate according to Freddie Mac’s Primary Mortgage Market Survey</w:t>
      </w:r>
      <w:r>
        <w:rPr>
          <w:rFonts w:ascii="Arial" w:cs="Arial" w:eastAsia="Arial" w:hAnsi="Arial"/>
          <w:sz w:val="17"/>
          <w:szCs w:val="17"/>
          <w:color w:val="auto"/>
          <w:vertAlign w:val="superscript"/>
        </w:rPr>
        <w:t>®</w:t>
      </w:r>
      <w:r>
        <w:rPr>
          <w:rFonts w:ascii="Arial" w:cs="Arial" w:eastAsia="Arial" w:hAnsi="Arial"/>
          <w:sz w:val="14"/>
          <w:szCs w:val="14"/>
          <w:color w:val="auto"/>
        </w:rPr>
        <w:t>. These rates are reported using the latest available data for a given period.</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5"/>
        </w:numPr>
        <w:rPr>
          <w:rFonts w:ascii="Arial" w:cs="Arial" w:eastAsia="Arial" w:hAnsi="Arial"/>
          <w:sz w:val="9"/>
          <w:szCs w:val="9"/>
          <w:color w:val="auto"/>
        </w:rPr>
      </w:pPr>
      <w:r>
        <w:rPr>
          <w:rFonts w:ascii="Arial" w:cs="Arial" w:eastAsia="Arial" w:hAnsi="Arial"/>
          <w:sz w:val="14"/>
          <w:szCs w:val="14"/>
          <w:color w:val="auto"/>
        </w:rPr>
        <w:t>According to Bloomberg.</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Refers to the daily rate per the Federal Reserve Bank of New York.</w:t>
      </w:r>
    </w:p>
    <w:p>
      <w:pPr>
        <w:spacing w:after="0" w:line="75"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average 30-year fixed-rate mortgage rate at the end of the second quarter of 2024 increased slightly compared to the end of the first quarter of 2024 and the end of the fourth quarter of 2023.</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Home Prices</w:t>
      </w:r>
    </w:p>
    <w:p>
      <w:pPr>
        <w:spacing w:after="0" w:line="217"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Single-Family Quarterly Home Price Growth Rate</w:t>
      </w:r>
      <w:r>
        <w:rPr>
          <w:rFonts w:ascii="Georgia" w:cs="Georgia" w:eastAsia="Georgia" w:hAnsi="Georgia"/>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119380</wp:posOffset>
            </wp:positionV>
            <wp:extent cx="4911725" cy="941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11725" cy="94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40" w:right="200" w:hanging="237"/>
        <w:spacing w:after="0" w:line="233" w:lineRule="auto"/>
        <w:tabs>
          <w:tab w:leader="none" w:pos="233"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Calculated internally using property data on loans purchased by Fannie Mae, Freddie Mac and other third-party home sales data. Fannie Mae’s home price index is a weighted repeat-transactions index, measuring average price changes in repeat sales on the same properties. Fannie Mae’s home price index excludes prices on properties sold in foreclosure. Fannie Mae’s home price growth rates represent estimates based on non-seasonally adjusted preliminary data and are subject to change as additional data becomes available.</w:t>
      </w:r>
    </w:p>
    <w:p>
      <w:pPr>
        <w:spacing w:after="0" w:line="76"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Home prices on a national basis grew by an estimated 5.2% in the first half of 2024. We forecast national home price growth of 6.1% for the full year of 2024. We expect regional variation in the timing and rate of home price changes.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80" w:type="dxa"/>
            <w:vAlign w:val="bottom"/>
            <w:tcBorders>
              <w:bottom w:val="single" w:sz="8" w:color="9A9A9A"/>
            </w:tcBorders>
          </w:tcPr>
          <w:p>
            <w:pPr>
              <w:spacing w:after="0"/>
              <w:rPr>
                <w:sz w:val="17"/>
                <w:szCs w:val="17"/>
                <w:color w:val="auto"/>
              </w:rPr>
            </w:pPr>
          </w:p>
        </w:tc>
        <w:tc>
          <w:tcPr>
            <w:tcW w:w="4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 w:name="page8"/>
    <w:bookmarkEnd w:id="7"/>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Housing Activity</w:t>
      </w:r>
    </w:p>
    <w:p>
      <w:pPr>
        <w:spacing w:after="0" w:line="15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New Housing Starts</w:t>
      </w:r>
      <w:r>
        <w:rPr>
          <w:rFonts w:ascii="Georgia" w:cs="Georgia" w:eastAsia="Georgia" w:hAnsi="Georgia"/>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-19050</wp:posOffset>
            </wp:positionV>
            <wp:extent cx="4911725" cy="2513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11725" cy="251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7"/>
        <w:spacing w:after="0"/>
        <w:tabs>
          <w:tab w:leader="none" w:pos="220" w:val="left"/>
        </w:tabs>
        <w:numPr>
          <w:ilvl w:val="0"/>
          <w:numId w:val="7"/>
        </w:numPr>
        <w:rPr>
          <w:rFonts w:ascii="Arial" w:cs="Arial" w:eastAsia="Arial" w:hAnsi="Arial"/>
          <w:sz w:val="9"/>
          <w:szCs w:val="9"/>
          <w:color w:val="auto"/>
        </w:rPr>
      </w:pPr>
      <w:r>
        <w:rPr>
          <w:rFonts w:ascii="Arial" w:cs="Arial" w:eastAsia="Arial" w:hAnsi="Arial"/>
          <w:sz w:val="14"/>
          <w:szCs w:val="14"/>
          <w:color w:val="auto"/>
        </w:rPr>
        <w:t>According to the U.S. Census Bureau and subject to revision.</w:t>
      </w:r>
    </w:p>
    <w:p>
      <w:pPr>
        <w:spacing w:after="0" w:line="9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Single-family housing starts decreased modestly in the second quarter of 2024 compared to the first quarter of 2024. We expect single-family housing starts to increase in 2024 overall compared to 2023 due to elevated demand for new single-family housing.</w:t>
      </w:r>
    </w:p>
    <w:p>
      <w:pPr>
        <w:spacing w:after="0" w:line="5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further discussion on housing activity, see “Single-Family Business—Single-Family Mortgage Market” and “Multifamily Business—Multifamily Mortgage Market.”</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Economic Activity</w:t>
      </w:r>
    </w:p>
    <w:p>
      <w:pPr>
        <w:spacing w:after="0" w:line="154"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GDP and Unemployment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15240</wp:posOffset>
            </wp:positionV>
            <wp:extent cx="5403215" cy="14897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03215" cy="148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hanging="217"/>
        <w:spacing w:after="0"/>
        <w:tabs>
          <w:tab w:leader="none" w:pos="220" w:val="left"/>
        </w:tabs>
        <w:numPr>
          <w:ilvl w:val="0"/>
          <w:numId w:val="8"/>
        </w:numPr>
        <w:rPr>
          <w:rFonts w:ascii="Arial" w:cs="Arial" w:eastAsia="Arial" w:hAnsi="Arial"/>
          <w:sz w:val="9"/>
          <w:szCs w:val="9"/>
          <w:color w:val="auto"/>
        </w:rPr>
      </w:pPr>
      <w:r>
        <w:rPr>
          <w:rFonts w:ascii="Arial" w:cs="Arial" w:eastAsia="Arial" w:hAnsi="Arial"/>
          <w:sz w:val="14"/>
          <w:szCs w:val="14"/>
          <w:color w:val="auto"/>
        </w:rPr>
        <w:t>Real GDP growth (decline) is based on the quarterly series calculated by the Bureau of Economic Analysis and is subject to revision.</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8"/>
        </w:numPr>
        <w:rPr>
          <w:rFonts w:ascii="Arial" w:cs="Arial" w:eastAsia="Arial" w:hAnsi="Arial"/>
          <w:sz w:val="9"/>
          <w:szCs w:val="9"/>
          <w:color w:val="auto"/>
        </w:rPr>
      </w:pPr>
      <w:r>
        <w:rPr>
          <w:rFonts w:ascii="Arial" w:cs="Arial" w:eastAsia="Arial" w:hAnsi="Arial"/>
          <w:sz w:val="14"/>
          <w:szCs w:val="14"/>
          <w:color w:val="auto"/>
        </w:rPr>
        <w:t>According to the U.S. Bureau of Labor Statistics and subject to revision.</w:t>
      </w:r>
    </w:p>
    <w:p>
      <w:pPr>
        <w:spacing w:after="0" w:line="9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U.S. gross domestic product (“GDP”) increased in the first half of 2024. We expect that GDP will continue to grow in the second half of 2024, but at a slower pace than in 2023. The unemployment rate increased in the first half of 2024, and we expect it to continue to increase modestly in the second half of 2024. We expect our economic outlook will be influenced by a number of factors that are subject to change, such as the persistence of inflationary pressures, changes in monetary policy and the risk of financial market disruptions.</w:t>
      </w:r>
    </w:p>
    <w:p>
      <w:pPr>
        <w:spacing w:after="0" w:line="59"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See “Risk Factors—Market and Industry Risk” and “Risk Factors—Credit Risk” in our 2023 Form 10-K for further discussion of risks to our business and financial results associated with interest rates, home prices, housing activity, and economic conditions.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80" w:type="dxa"/>
            <w:vAlign w:val="bottom"/>
            <w:tcBorders>
              <w:bottom w:val="single" w:sz="8" w:color="9A9A9A"/>
            </w:tcBorders>
          </w:tcPr>
          <w:p>
            <w:pPr>
              <w:spacing w:after="0"/>
              <w:rPr>
                <w:sz w:val="16"/>
                <w:szCs w:val="16"/>
                <w:color w:val="auto"/>
              </w:rPr>
            </w:pPr>
          </w:p>
        </w:tc>
        <w:tc>
          <w:tcPr>
            <w:tcW w:w="41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 w:name="page9"/>
    <w:bookmarkEnd w:id="8"/>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section discusses our condensed consolidated results of operations and should be read together with our condensed consolidated financial statements and the accompanying notes.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Six Months Ended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7"/>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12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5"/>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Variance</w:t>
            </w:r>
          </w:p>
        </w:tc>
        <w:tc>
          <w:tcPr>
            <w:tcW w:w="1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ind w:right="143"/>
              <w:spacing w:after="0"/>
              <w:rPr>
                <w:sz w:val="20"/>
                <w:szCs w:val="20"/>
                <w:color w:val="auto"/>
              </w:rPr>
            </w:pPr>
            <w:r>
              <w:rPr>
                <w:rFonts w:ascii="Arial" w:cs="Arial" w:eastAsia="Arial" w:hAnsi="Arial"/>
                <w:sz w:val="14"/>
                <w:szCs w:val="14"/>
                <w:b w:val="1"/>
                <w:bCs w:val="1"/>
                <w:color w:val="auto"/>
              </w:rPr>
              <w:t>Variance</w:t>
            </w:r>
          </w:p>
        </w:tc>
      </w:tr>
      <w:tr>
        <w:trPr>
          <w:trHeight w:val="185"/>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7"/>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p>
        </w:tc>
        <w:tc>
          <w:tcPr>
            <w:tcW w:w="22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7,268</w:t>
            </w:r>
          </w:p>
        </w:tc>
        <w:tc>
          <w:tcPr>
            <w:tcW w:w="8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7,035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233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14,291</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13,821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470</w:t>
            </w:r>
          </w:p>
        </w:tc>
      </w:tr>
      <w:tr>
        <w:trPr>
          <w:trHeight w:val="208"/>
        </w:trPr>
        <w:tc>
          <w:tcPr>
            <w:tcW w:w="476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Fee and other income</w:t>
            </w:r>
            <w:r>
              <w:rPr>
                <w:rFonts w:ascii="Arial" w:cs="Arial" w:eastAsia="Arial" w:hAnsi="Arial"/>
                <w:sz w:val="20"/>
                <w:szCs w:val="20"/>
                <w:color w:val="auto"/>
                <w:vertAlign w:val="superscript"/>
              </w:rPr>
              <w:t>(1)</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68</w:t>
            </w:r>
          </w:p>
        </w:tc>
        <w:tc>
          <w:tcPr>
            <w:tcW w:w="8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140</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133</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r>
      <w:tr>
        <w:trPr>
          <w:trHeight w:val="198"/>
        </w:trPr>
        <w:tc>
          <w:tcPr>
            <w:tcW w:w="486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7,336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7,105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14,431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13,954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477</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(62)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447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927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319</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(939)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(1,868)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(136)</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Benefit (provision) for credit losses</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300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480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(654)</w:t>
            </w:r>
          </w:p>
        </w:tc>
      </w:tr>
      <w:tr>
        <w:trPr>
          <w:trHeight w:val="206"/>
        </w:trPr>
        <w:tc>
          <w:tcPr>
            <w:tcW w:w="4860" w:type="dxa"/>
            <w:vAlign w:val="bottom"/>
            <w:gridSpan w:val="2"/>
          </w:tcPr>
          <w:p>
            <w:pPr>
              <w:ind w:left="40"/>
              <w:spacing w:after="0" w:line="207" w:lineRule="exact"/>
              <w:rPr>
                <w:sz w:val="20"/>
                <w:szCs w:val="20"/>
                <w:color w:val="auto"/>
              </w:rPr>
            </w:pPr>
            <w:r>
              <w:rPr>
                <w:rFonts w:ascii="Arial" w:cs="Arial" w:eastAsia="Arial" w:hAnsi="Arial"/>
                <w:sz w:val="15"/>
                <w:szCs w:val="15"/>
                <w:color w:val="auto"/>
              </w:rPr>
              <w:t>TCCA fees</w:t>
            </w:r>
            <w:r>
              <w:rPr>
                <w:rFonts w:ascii="Arial" w:cs="Arial" w:eastAsia="Arial" w:hAnsi="Arial"/>
                <w:sz w:val="20"/>
                <w:szCs w:val="20"/>
                <w:color w:val="auto"/>
                <w:vertAlign w:val="superscript"/>
              </w:rPr>
              <w:t>(2)</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(859)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(1,719)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21"/>
        </w:trPr>
        <w:tc>
          <w:tcPr>
            <w:tcW w:w="4860" w:type="dxa"/>
            <w:vAlign w:val="bottom"/>
            <w:gridSpan w:val="2"/>
          </w:tcPr>
          <w:p>
            <w:pPr>
              <w:ind w:left="20"/>
              <w:spacing w:after="0" w:line="221" w:lineRule="exact"/>
              <w:rPr>
                <w:sz w:val="20"/>
                <w:szCs w:val="20"/>
                <w:color w:val="auto"/>
              </w:rPr>
            </w:pPr>
            <w:r>
              <w:rPr>
                <w:rFonts w:ascii="Arial" w:cs="Arial" w:eastAsia="Arial" w:hAnsi="Arial"/>
                <w:sz w:val="15"/>
                <w:szCs w:val="15"/>
                <w:color w:val="auto"/>
              </w:rPr>
              <w:t>Credit enhancement expense</w:t>
            </w:r>
            <w:r>
              <w:rPr>
                <w:rFonts w:ascii="Arial" w:cs="Arial" w:eastAsia="Arial" w:hAnsi="Arial"/>
                <w:sz w:val="20"/>
                <w:szCs w:val="20"/>
                <w:color w:val="auto"/>
                <w:vertAlign w:val="superscript"/>
              </w:rPr>
              <w:t>(3)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(405)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(99)</w:t>
            </w:r>
          </w:p>
        </w:tc>
      </w:tr>
      <w:tr>
        <w:trPr>
          <w:trHeight w:val="217"/>
        </w:trPr>
        <w:tc>
          <w:tcPr>
            <w:tcW w:w="4860" w:type="dxa"/>
            <w:vAlign w:val="bottom"/>
            <w:gridSpan w:val="2"/>
          </w:tcPr>
          <w:p>
            <w:pPr>
              <w:ind w:left="20"/>
              <w:spacing w:after="0" w:line="217" w:lineRule="exact"/>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20"/>
                <w:szCs w:val="20"/>
                <w:color w:val="auto"/>
                <w:vertAlign w:val="superscript"/>
              </w:rPr>
              <w:t>(4)</w:t>
            </w:r>
          </w:p>
        </w:tc>
        <w:tc>
          <w:tcPr>
            <w:tcW w:w="2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140</w:t>
            </w:r>
          </w:p>
        </w:tc>
      </w:tr>
      <w:tr>
        <w:trPr>
          <w:trHeight w:val="208"/>
        </w:trPr>
        <w:tc>
          <w:tcPr>
            <w:tcW w:w="476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Other expenses, net</w:t>
            </w:r>
            <w:r>
              <w:rPr>
                <w:rFonts w:ascii="Arial" w:cs="Arial" w:eastAsia="Arial" w:hAnsi="Arial"/>
                <w:sz w:val="20"/>
                <w:szCs w:val="20"/>
                <w:color w:val="auto"/>
                <w:vertAlign w:val="superscript"/>
              </w:rPr>
              <w:t>(5)</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(251)</w:t>
            </w:r>
          </w:p>
        </w:tc>
        <w:tc>
          <w:tcPr>
            <w:tcW w:w="8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(257)</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(450)</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(387)</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(63)</w:t>
            </w:r>
          </w:p>
        </w:tc>
      </w:tr>
      <w:tr>
        <w:trPr>
          <w:trHeight w:val="198"/>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5,604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6,279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11,037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11,059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08"/>
        </w:trPr>
        <w:tc>
          <w:tcPr>
            <w:tcW w:w="47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(1,120)</w:t>
            </w:r>
          </w:p>
        </w:tc>
        <w:tc>
          <w:tcPr>
            <w:tcW w:w="8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(1,285)</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165</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(2,233)</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(2,293)</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w:t>
            </w:r>
          </w:p>
        </w:tc>
      </w:tr>
      <w:tr>
        <w:trPr>
          <w:trHeight w:val="199"/>
        </w:trPr>
        <w:tc>
          <w:tcPr>
            <w:tcW w:w="486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22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4,484</w:t>
            </w:r>
          </w:p>
        </w:tc>
        <w:tc>
          <w:tcPr>
            <w:tcW w:w="8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4,994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(510)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8,804</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8,766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0"/>
        </w:trPr>
        <w:tc>
          <w:tcPr>
            <w:tcW w:w="4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Total comprehensive income</w:t>
            </w:r>
          </w:p>
        </w:tc>
        <w:tc>
          <w:tcPr>
            <w:tcW w:w="22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4,477</w:t>
            </w:r>
          </w:p>
        </w:tc>
        <w:tc>
          <w:tcPr>
            <w:tcW w:w="8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4,995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(518)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8,801</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8,767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34</w:t>
            </w:r>
          </w:p>
        </w:tc>
      </w:tr>
    </w:tbl>
    <w:p>
      <w:pPr>
        <w:spacing w:after="0" w:line="114" w:lineRule="exact"/>
        <w:rPr>
          <w:sz w:val="20"/>
          <w:szCs w:val="20"/>
          <w:color w:val="auto"/>
        </w:rPr>
      </w:pPr>
    </w:p>
    <w:p>
      <w:pPr>
        <w:ind w:left="240" w:right="160" w:hanging="237"/>
        <w:spacing w:after="0" w:line="226" w:lineRule="auto"/>
        <w:tabs>
          <w:tab w:leader="none" w:pos="233"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Single-family fee and other income consists primarily of compensation for engaging in structured transactions and providing other lender services. Multifamily fee and other income consists of fees associated with certain Multifamily business activities such as credit enhancements for tax-exempt multifamily housing revenue bonds.</w:t>
      </w:r>
    </w:p>
    <w:p>
      <w:pPr>
        <w:spacing w:after="0" w:line="27" w:lineRule="exact"/>
        <w:rPr>
          <w:rFonts w:ascii="Arial" w:cs="Arial" w:eastAsia="Arial" w:hAnsi="Arial"/>
          <w:sz w:val="18"/>
          <w:szCs w:val="18"/>
          <w:color w:val="auto"/>
          <w:vertAlign w:val="superscript"/>
        </w:rPr>
      </w:pPr>
    </w:p>
    <w:p>
      <w:pPr>
        <w:ind w:left="240" w:right="520" w:hanging="237"/>
        <w:spacing w:after="0" w:line="226" w:lineRule="auto"/>
        <w:tabs>
          <w:tab w:leader="none" w:pos="233"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TCCA fees refers to the expense recognized as a result of the 10 basis point increase in guaranty fees on all single-family mortgages delivered to us on or after April 1, 2012 pursuant to the Temporary Payroll Tax Cut Continuation Act of 2011 and as extended by the Infrastructure Investment and Jobs Act, which we pay to Treasury.</w:t>
      </w:r>
    </w:p>
    <w:p>
      <w:pPr>
        <w:spacing w:after="0" w:line="14" w:lineRule="exact"/>
        <w:rPr>
          <w:rFonts w:ascii="Arial" w:cs="Arial" w:eastAsia="Arial" w:hAnsi="Arial"/>
          <w:sz w:val="18"/>
          <w:szCs w:val="18"/>
          <w:color w:val="auto"/>
          <w:vertAlign w:val="superscript"/>
        </w:rPr>
      </w:pPr>
    </w:p>
    <w:p>
      <w:pPr>
        <w:ind w:left="240" w:right="180" w:hanging="237"/>
        <w:spacing w:after="0" w:line="259" w:lineRule="auto"/>
        <w:tabs>
          <w:tab w:leader="none" w:pos="233" w:val="left"/>
        </w:tabs>
        <w:numPr>
          <w:ilvl w:val="0"/>
          <w:numId w:val="9"/>
        </w:numPr>
        <w:rPr>
          <w:rFonts w:ascii="Arial" w:cs="Arial" w:eastAsia="Arial" w:hAnsi="Arial"/>
          <w:sz w:val="9"/>
          <w:szCs w:val="9"/>
          <w:color w:val="auto"/>
        </w:rPr>
      </w:pPr>
      <w:r>
        <w:rPr>
          <w:rFonts w:ascii="Arial" w:cs="Arial" w:eastAsia="Arial" w:hAnsi="Arial"/>
          <w:sz w:val="14"/>
          <w:szCs w:val="14"/>
          <w:color w:val="auto"/>
        </w:rPr>
        <w:t>Consists of costs associated with our freestanding credit enhancements, which primarily include our Connecticut Avenue Securities</w:t>
      </w:r>
      <w:r>
        <w:rPr>
          <w:rFonts w:ascii="Arial" w:cs="Arial" w:eastAsia="Arial" w:hAnsi="Arial"/>
          <w:sz w:val="8"/>
          <w:szCs w:val="8"/>
          <w:color w:val="auto"/>
        </w:rPr>
        <w:t>®</w:t>
      </w:r>
      <w:r>
        <w:rPr>
          <w:rFonts w:ascii="Arial" w:cs="Arial" w:eastAsia="Arial" w:hAnsi="Arial"/>
          <w:sz w:val="14"/>
          <w:szCs w:val="14"/>
          <w:color w:val="auto"/>
        </w:rPr>
        <w:t xml:space="preserve"> (“CAS”) and Credit Insurance Risk Transfer</w:t>
      </w:r>
      <w:r>
        <w:rPr>
          <w:rFonts w:ascii="Arial" w:cs="Arial" w:eastAsia="Arial" w:hAnsi="Arial"/>
          <w:sz w:val="8"/>
          <w:szCs w:val="8"/>
          <w:color w:val="auto"/>
        </w:rPr>
        <w:t>TM</w:t>
      </w:r>
      <w:r>
        <w:rPr>
          <w:rFonts w:ascii="Arial" w:cs="Arial" w:eastAsia="Arial" w:hAnsi="Arial"/>
          <w:sz w:val="14"/>
          <w:szCs w:val="14"/>
          <w:color w:val="auto"/>
        </w:rPr>
        <w:t xml:space="preserve"> (“CIRT</w:t>
      </w:r>
      <w:r>
        <w:rPr>
          <w:rFonts w:ascii="Arial" w:cs="Arial" w:eastAsia="Arial" w:hAnsi="Arial"/>
          <w:sz w:val="17"/>
          <w:szCs w:val="17"/>
          <w:color w:val="auto"/>
          <w:vertAlign w:val="superscript"/>
        </w:rPr>
        <w:t>TM</w:t>
      </w:r>
      <w:r>
        <w:rPr>
          <w:rFonts w:ascii="Arial" w:cs="Arial" w:eastAsia="Arial" w:hAnsi="Arial"/>
          <w:sz w:val="14"/>
          <w:szCs w:val="14"/>
          <w:color w:val="auto"/>
        </w:rPr>
        <w:t>”) programs, enterprise-paid mortgage insurance and certain lender risk-sharing programs.</w:t>
      </w:r>
    </w:p>
    <w:p>
      <w:pPr>
        <w:spacing w:after="0" w:line="1" w:lineRule="exact"/>
        <w:rPr>
          <w:rFonts w:ascii="Arial" w:cs="Arial" w:eastAsia="Arial" w:hAnsi="Arial"/>
          <w:sz w:val="9"/>
          <w:szCs w:val="9"/>
          <w:color w:val="auto"/>
        </w:rPr>
      </w:pPr>
    </w:p>
    <w:p>
      <w:pPr>
        <w:ind w:left="220" w:hanging="217"/>
        <w:spacing w:after="0" w:line="195" w:lineRule="auto"/>
        <w:tabs>
          <w:tab w:leader="none" w:pos="22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estimated changes in benefits, as well as any realized amounts, from our freestanding credit enhancements.</w:t>
      </w:r>
    </w:p>
    <w:p>
      <w:pPr>
        <w:spacing w:after="0" w:line="38" w:lineRule="exact"/>
        <w:rPr>
          <w:rFonts w:ascii="Arial" w:cs="Arial" w:eastAsia="Arial" w:hAnsi="Arial"/>
          <w:sz w:val="18"/>
          <w:szCs w:val="18"/>
          <w:color w:val="auto"/>
          <w:vertAlign w:val="superscript"/>
        </w:rPr>
      </w:pPr>
    </w:p>
    <w:p>
      <w:pPr>
        <w:ind w:left="240" w:right="440" w:hanging="237"/>
        <w:spacing w:after="0" w:line="219" w:lineRule="auto"/>
        <w:tabs>
          <w:tab w:leader="none" w:pos="233"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debt extinguishment gains and losses, expenses associated with legal claims, foreclosed property income (expense), gains and losses from partnership investments, housing trust fund expenses, loan subservicing costs, and servicer fees paid in connection with certain loss mitigation activities.</w:t>
      </w:r>
    </w:p>
    <w:p>
      <w:pPr>
        <w:spacing w:after="0" w:line="84"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Net Interest Income</w:t>
      </w:r>
    </w:p>
    <w:p>
      <w:pPr>
        <w:spacing w:after="0" w:line="11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Overview</w:t>
      </w:r>
    </w:p>
    <w:p>
      <w:pPr>
        <w:spacing w:after="0" w:line="93"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Our primary source of net interest income is guaranty fees we receive for assuming the credit risk on mortgage loans underlying Fannie Mae MBS held by third parties in our guaranty book of business. We also recognize net interest income on the difference between interest income earned on the assets in our retained mortgage portfolio and our corporate liquidity portfolio (collectively, our “portfolios”) and the interest expense associated with our funding debt. In addition, income or expense from hedge accounting is a component of our net interest income. See “MD&amp;A—Consolidated Results of Operations—Net Interest Income” in our 2023 Form 10-K for a description of the components of our single-family and multifamily guaranty fees and the components of our net interest income from our guaranty book of business, portfolios, and hedge accounting.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80" w:type="dxa"/>
            <w:vAlign w:val="bottom"/>
            <w:tcBorders>
              <w:bottom w:val="single" w:sz="8" w:color="9A9A9A"/>
            </w:tcBorders>
          </w:tcPr>
          <w:p>
            <w:pPr>
              <w:spacing w:after="0"/>
              <w:rPr>
                <w:sz w:val="16"/>
                <w:szCs w:val="16"/>
                <w:color w:val="auto"/>
              </w:rPr>
            </w:pPr>
          </w:p>
        </w:tc>
        <w:tc>
          <w:tcPr>
            <w:tcW w:w="41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 w:name="page10"/>
    <w:bookmarkEnd w:id="9"/>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Components of Net Interest Income</w:t>
      </w:r>
    </w:p>
    <w:p>
      <w:pPr>
        <w:spacing w:after="0" w:line="106" w:lineRule="exact"/>
        <w:rPr>
          <w:sz w:val="20"/>
          <w:szCs w:val="20"/>
          <w:color w:val="auto"/>
        </w:rPr>
      </w:pPr>
    </w:p>
    <w:p>
      <w:pPr>
        <w:ind w:right="680"/>
        <w:spacing w:after="0" w:line="293" w:lineRule="auto"/>
        <w:rPr>
          <w:sz w:val="20"/>
          <w:szCs w:val="20"/>
          <w:color w:val="auto"/>
        </w:rPr>
      </w:pPr>
      <w:r>
        <w:rPr>
          <w:rFonts w:ascii="Arial" w:cs="Arial" w:eastAsia="Arial" w:hAnsi="Arial"/>
          <w:sz w:val="16"/>
          <w:szCs w:val="16"/>
          <w:color w:val="auto"/>
        </w:rPr>
        <w:t>The table below displays the components of our net interest income from our guaranty book of business, from our portfolios, as well as from hedge accounting.</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Components of Net Interest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80" w:type="dxa"/>
            <w:vAlign w:val="bottom"/>
            <w:tcBorders>
              <w:top w:val="single" w:sz="8" w:color="2C6937"/>
            </w:tcBorders>
          </w:tcPr>
          <w:p>
            <w:pPr>
              <w:spacing w:after="0"/>
              <w:rPr>
                <w:sz w:val="15"/>
                <w:szCs w:val="15"/>
                <w:color w:val="auto"/>
              </w:rPr>
            </w:pPr>
          </w:p>
        </w:tc>
        <w:tc>
          <w:tcPr>
            <w:tcW w:w="100" w:type="dxa"/>
            <w:vAlign w:val="bottom"/>
            <w:tcBorders>
              <w:top w:val="single" w:sz="8" w:color="2C6937"/>
            </w:tcBorders>
          </w:tcPr>
          <w:p>
            <w:pPr>
              <w:spacing w:after="0"/>
              <w:rPr>
                <w:sz w:val="15"/>
                <w:szCs w:val="15"/>
                <w:color w:val="auto"/>
              </w:rPr>
            </w:pPr>
          </w:p>
        </w:tc>
        <w:tc>
          <w:tcPr>
            <w:tcW w:w="2320" w:type="dxa"/>
            <w:vAlign w:val="bottom"/>
            <w:tcBorders>
              <w:top w:val="single" w:sz="8" w:color="2C6937"/>
            </w:tcBorders>
            <w:gridSpan w:val="6"/>
          </w:tcPr>
          <w:p>
            <w:pPr>
              <w:ind w:left="60"/>
              <w:spacing w:after="0"/>
              <w:rPr>
                <w:sz w:val="20"/>
                <w:szCs w:val="20"/>
                <w:color w:val="auto"/>
              </w:rPr>
            </w:pPr>
            <w:r>
              <w:rPr>
                <w:rFonts w:ascii="Arial" w:cs="Arial" w:eastAsia="Arial" w:hAnsi="Arial"/>
                <w:sz w:val="15"/>
                <w:szCs w:val="15"/>
                <w:b w:val="1"/>
                <w:bCs w:val="1"/>
                <w:color w:val="auto"/>
              </w:rPr>
              <w:t>For the Three Months Ended</w:t>
            </w:r>
          </w:p>
        </w:tc>
        <w:tc>
          <w:tcPr>
            <w:tcW w:w="160" w:type="dxa"/>
            <w:vAlign w:val="bottom"/>
            <w:tcBorders>
              <w:top w:val="single" w:sz="8" w:color="2C6937"/>
            </w:tcBorders>
          </w:tcPr>
          <w:p>
            <w:pPr>
              <w:spacing w:after="0"/>
              <w:rPr>
                <w:sz w:val="15"/>
                <w:szCs w:val="15"/>
                <w:color w:val="auto"/>
              </w:rPr>
            </w:pPr>
          </w:p>
        </w:tc>
        <w:tc>
          <w:tcPr>
            <w:tcW w:w="900" w:type="dxa"/>
            <w:vAlign w:val="bottom"/>
            <w:tcBorders>
              <w:top w:val="single" w:sz="8" w:color="2C6937"/>
            </w:tcBorders>
          </w:tcPr>
          <w:p>
            <w:pPr>
              <w:spacing w:after="0"/>
              <w:rPr>
                <w:sz w:val="15"/>
                <w:szCs w:val="15"/>
                <w:color w:val="auto"/>
              </w:rPr>
            </w:pPr>
          </w:p>
        </w:tc>
        <w:tc>
          <w:tcPr>
            <w:tcW w:w="100" w:type="dxa"/>
            <w:vAlign w:val="bottom"/>
            <w:tcBorders>
              <w:top w:val="single" w:sz="8" w:color="2C6937"/>
            </w:tcBorders>
          </w:tcPr>
          <w:p>
            <w:pPr>
              <w:spacing w:after="0"/>
              <w:rPr>
                <w:sz w:val="15"/>
                <w:szCs w:val="15"/>
                <w:color w:val="auto"/>
              </w:rPr>
            </w:pPr>
          </w:p>
        </w:tc>
        <w:tc>
          <w:tcPr>
            <w:tcW w:w="120" w:type="dxa"/>
            <w:vAlign w:val="bottom"/>
            <w:tcBorders>
              <w:top w:val="single" w:sz="8" w:color="2C6937"/>
            </w:tcBorders>
          </w:tcPr>
          <w:p>
            <w:pPr>
              <w:spacing w:after="0"/>
              <w:rPr>
                <w:sz w:val="15"/>
                <w:szCs w:val="15"/>
                <w:color w:val="auto"/>
              </w:rPr>
            </w:pPr>
          </w:p>
        </w:tc>
        <w:tc>
          <w:tcPr>
            <w:tcW w:w="2200" w:type="dxa"/>
            <w:vAlign w:val="bottom"/>
            <w:tcBorders>
              <w:top w:val="single" w:sz="8" w:color="2C6937"/>
            </w:tcBorders>
            <w:gridSpan w:val="5"/>
          </w:tcPr>
          <w:p>
            <w:pPr>
              <w:ind w:left="20"/>
              <w:spacing w:after="0"/>
              <w:rPr>
                <w:sz w:val="20"/>
                <w:szCs w:val="20"/>
                <w:color w:val="auto"/>
              </w:rPr>
            </w:pPr>
            <w:r>
              <w:rPr>
                <w:rFonts w:ascii="Arial" w:cs="Arial" w:eastAsia="Arial" w:hAnsi="Arial"/>
                <w:sz w:val="15"/>
                <w:szCs w:val="15"/>
                <w:b w:val="1"/>
                <w:bCs w:val="1"/>
                <w:color w:val="auto"/>
              </w:rPr>
              <w:t>For the Six Months Ended</w:t>
            </w:r>
          </w:p>
        </w:tc>
        <w:tc>
          <w:tcPr>
            <w:tcW w:w="160" w:type="dxa"/>
            <w:vAlign w:val="bottom"/>
            <w:tcBorders>
              <w:top w:val="single" w:sz="8" w:color="2C6937"/>
            </w:tcBorders>
          </w:tcPr>
          <w:p>
            <w:pPr>
              <w:spacing w:after="0"/>
              <w:rPr>
                <w:sz w:val="15"/>
                <w:szCs w:val="15"/>
                <w:color w:val="auto"/>
              </w:rPr>
            </w:pPr>
          </w:p>
        </w:tc>
        <w:tc>
          <w:tcPr>
            <w:tcW w:w="900" w:type="dxa"/>
            <w:vAlign w:val="bottom"/>
            <w:tcBorders>
              <w:top w:val="single" w:sz="8" w:color="2C6937"/>
            </w:tcBorders>
          </w:tcPr>
          <w:p>
            <w:pPr>
              <w:spacing w:after="0"/>
              <w:rPr>
                <w:sz w:val="15"/>
                <w:szCs w:val="15"/>
                <w:color w:val="auto"/>
              </w:rPr>
            </w:pPr>
          </w:p>
        </w:tc>
      </w:tr>
      <w:tr>
        <w:trPr>
          <w:trHeight w:val="206"/>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7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34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7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9"/>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Variance</w:t>
            </w:r>
          </w:p>
        </w:tc>
        <w:tc>
          <w:tcPr>
            <w:tcW w:w="12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ind w:right="143"/>
              <w:spacing w:after="0"/>
              <w:rPr>
                <w:sz w:val="20"/>
                <w:szCs w:val="20"/>
                <w:color w:val="auto"/>
              </w:rPr>
            </w:pPr>
            <w:r>
              <w:rPr>
                <w:rFonts w:ascii="Arial" w:cs="Arial" w:eastAsia="Arial" w:hAnsi="Arial"/>
                <w:sz w:val="15"/>
                <w:szCs w:val="15"/>
                <w:b w:val="1"/>
                <w:bCs w:val="1"/>
                <w:color w:val="auto"/>
              </w:rPr>
              <w:t>Variance</w:t>
            </w:r>
          </w:p>
        </w:tc>
      </w:tr>
      <w:tr>
        <w:trPr>
          <w:trHeight w:val="296"/>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5"/>
          </w:tcPr>
          <w:p>
            <w:pPr>
              <w:ind w:left="240"/>
              <w:spacing w:after="0"/>
              <w:rPr>
                <w:sz w:val="20"/>
                <w:szCs w:val="20"/>
                <w:color w:val="auto"/>
              </w:rPr>
            </w:pPr>
            <w:r>
              <w:rPr>
                <w:rFonts w:ascii="Arial" w:cs="Arial" w:eastAsia="Arial" w:hAnsi="Arial"/>
                <w:sz w:val="15"/>
                <w:szCs w:val="15"/>
                <w:b w:val="1"/>
                <w:bCs w:val="1"/>
                <w:color w:val="auto"/>
              </w:rPr>
              <w:t>(Dollars in millions)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1"/>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Net interest income from guaranty book of business: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6"/>
        </w:trPr>
        <w:tc>
          <w:tcPr>
            <w:tcW w:w="4380" w:type="dxa"/>
            <w:vAlign w:val="bottom"/>
            <w:gridSpan w:val="2"/>
          </w:tcPr>
          <w:p>
            <w:pPr>
              <w:ind w:left="180"/>
              <w:spacing w:after="0"/>
              <w:rPr>
                <w:sz w:val="20"/>
                <w:szCs w:val="20"/>
                <w:color w:val="auto"/>
              </w:rPr>
            </w:pPr>
            <w:r>
              <w:rPr>
                <w:rFonts w:ascii="Arial" w:cs="Arial" w:eastAsia="Arial" w:hAnsi="Arial"/>
                <w:sz w:val="15"/>
                <w:szCs w:val="15"/>
                <w:color w:val="auto"/>
              </w:rPr>
              <w:t>Base guaranty fee income</w:t>
            </w:r>
            <w:r>
              <w:rPr>
                <w:rFonts w:ascii="Arial" w:cs="Arial" w:eastAsia="Arial" w:hAnsi="Arial"/>
                <w:sz w:val="20"/>
                <w:szCs w:val="20"/>
                <w:color w:val="auto"/>
                <w:vertAlign w:val="superscript"/>
              </w:rPr>
              <w:t>(1)</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4,108</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4,025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3"/>
              <w:spacing w:after="0"/>
              <w:rPr>
                <w:sz w:val="20"/>
                <w:szCs w:val="20"/>
                <w:color w:val="auto"/>
              </w:rPr>
            </w:pPr>
            <w:r>
              <w:rPr>
                <w:rFonts w:ascii="Arial" w:cs="Arial" w:eastAsia="Arial" w:hAnsi="Arial"/>
                <w:sz w:val="15"/>
                <w:szCs w:val="15"/>
                <w:b w:val="1"/>
                <w:bCs w:val="1"/>
                <w:color w:val="auto"/>
              </w:rPr>
              <w:t>8,198</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8,017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181</w:t>
            </w:r>
          </w:p>
        </w:tc>
      </w:tr>
      <w:tr>
        <w:trPr>
          <w:trHeight w:val="309"/>
        </w:trPr>
        <w:tc>
          <w:tcPr>
            <w:tcW w:w="4380" w:type="dxa"/>
            <w:vAlign w:val="bottom"/>
            <w:gridSpan w:val="2"/>
          </w:tcPr>
          <w:p>
            <w:pPr>
              <w:ind w:left="180"/>
              <w:spacing w:after="0"/>
              <w:rPr>
                <w:sz w:val="20"/>
                <w:szCs w:val="20"/>
                <w:color w:val="auto"/>
              </w:rPr>
            </w:pPr>
            <w:r>
              <w:rPr>
                <w:rFonts w:ascii="Arial" w:cs="Arial" w:eastAsia="Arial" w:hAnsi="Arial"/>
                <w:sz w:val="15"/>
                <w:szCs w:val="15"/>
                <w:color w:val="auto"/>
              </w:rPr>
              <w:t>Base guaranty fee income related to TCCA</w:t>
            </w:r>
            <w:r>
              <w:rPr>
                <w:rFonts w:ascii="Arial" w:cs="Arial" w:eastAsia="Arial" w:hAnsi="Arial"/>
                <w:sz w:val="20"/>
                <w:szCs w:val="20"/>
                <w:color w:val="auto"/>
                <w:vertAlign w:val="superscript"/>
              </w:rPr>
              <w:t>(2)</w:t>
            </w:r>
          </w:p>
        </w:tc>
        <w:tc>
          <w:tcPr>
            <w:tcW w:w="2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859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856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b w:val="1"/>
                <w:bCs w:val="1"/>
                <w:color w:val="auto"/>
              </w:rPr>
              <w:t>1,719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1,711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57"/>
        </w:trPr>
        <w:tc>
          <w:tcPr>
            <w:tcW w:w="42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deferred guaranty fee income</w:t>
            </w:r>
            <w:r>
              <w:rPr>
                <w:rFonts w:ascii="Arial" w:cs="Arial" w:eastAsia="Arial" w:hAnsi="Arial"/>
                <w:sz w:val="20"/>
                <w:szCs w:val="20"/>
                <w:color w:val="auto"/>
                <w:vertAlign w:val="superscript"/>
              </w:rPr>
              <w:t>(3)</w:t>
            </w:r>
          </w:p>
        </w:tc>
        <w:tc>
          <w:tcPr>
            <w:tcW w:w="10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8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867</w:t>
            </w:r>
          </w:p>
        </w:tc>
        <w:tc>
          <w:tcPr>
            <w:tcW w:w="100" w:type="dxa"/>
            <w:vAlign w:val="bottom"/>
          </w:tcPr>
          <w:p>
            <w:pPr>
              <w:spacing w:after="0"/>
              <w:rPr>
                <w:sz w:val="22"/>
                <w:szCs w:val="22"/>
                <w:color w:val="auto"/>
              </w:rPr>
            </w:pPr>
          </w:p>
        </w:tc>
        <w:tc>
          <w:tcPr>
            <w:tcW w:w="3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888</w:t>
            </w:r>
          </w:p>
        </w:tc>
        <w:tc>
          <w:tcPr>
            <w:tcW w:w="10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9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1,644</w:t>
            </w:r>
          </w:p>
        </w:tc>
        <w:tc>
          <w:tcPr>
            <w:tcW w:w="100" w:type="dxa"/>
            <w:vAlign w:val="bottom"/>
          </w:tcPr>
          <w:p>
            <w:pPr>
              <w:spacing w:after="0"/>
              <w:rPr>
                <w:sz w:val="22"/>
                <w:szCs w:val="22"/>
                <w:color w:val="auto"/>
              </w:rPr>
            </w:pPr>
          </w:p>
        </w:tc>
        <w:tc>
          <w:tcPr>
            <w:tcW w:w="3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1,669</w:t>
            </w:r>
          </w:p>
        </w:tc>
        <w:tc>
          <w:tcPr>
            <w:tcW w:w="10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w:t>
            </w:r>
          </w:p>
        </w:tc>
      </w:tr>
      <w:tr>
        <w:trPr>
          <w:trHeight w:val="309"/>
        </w:trPr>
        <w:tc>
          <w:tcPr>
            <w:tcW w:w="4380" w:type="dxa"/>
            <w:vAlign w:val="bottom"/>
            <w:gridSpan w:val="2"/>
          </w:tcPr>
          <w:p>
            <w:pPr>
              <w:ind w:left="320"/>
              <w:spacing w:after="0"/>
              <w:rPr>
                <w:sz w:val="20"/>
                <w:szCs w:val="20"/>
                <w:color w:val="auto"/>
              </w:rPr>
            </w:pPr>
            <w:r>
              <w:rPr>
                <w:rFonts w:ascii="Arial" w:cs="Arial" w:eastAsia="Arial" w:hAnsi="Arial"/>
                <w:sz w:val="15"/>
                <w:szCs w:val="15"/>
                <w:color w:val="auto"/>
              </w:rPr>
              <w:t>Total net interest income from guaranty book of business</w:t>
            </w:r>
          </w:p>
        </w:tc>
        <w:tc>
          <w:tcPr>
            <w:tcW w:w="2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5,834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5,769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b w:val="1"/>
                <w:bCs w:val="1"/>
                <w:color w:val="auto"/>
              </w:rPr>
              <w:t>11,561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11,397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164</w:t>
            </w:r>
          </w:p>
        </w:tc>
      </w:tr>
      <w:tr>
        <w:trPr>
          <w:trHeight w:val="278"/>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Net interest income from portfolios</w:t>
            </w:r>
            <w:r>
              <w:rPr>
                <w:rFonts w:ascii="Arial" w:cs="Arial" w:eastAsia="Arial" w:hAnsi="Arial"/>
                <w:sz w:val="20"/>
                <w:szCs w:val="20"/>
                <w:color w:val="auto"/>
                <w:vertAlign w:val="superscript"/>
              </w:rPr>
              <w:t>(4)</w:t>
            </w:r>
          </w:p>
        </w:tc>
        <w:tc>
          <w:tcPr>
            <w:tcW w:w="2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1,646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1,568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b w:val="1"/>
                <w:bCs w:val="1"/>
                <w:color w:val="auto"/>
              </w:rPr>
              <w:t>3,193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2,958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235</w:t>
            </w:r>
          </w:p>
        </w:tc>
      </w:tr>
      <w:tr>
        <w:trPr>
          <w:trHeight w:val="257"/>
        </w:trPr>
        <w:tc>
          <w:tcPr>
            <w:tcW w:w="42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Income (expense) from hedge accounting</w:t>
            </w:r>
            <w:r>
              <w:rPr>
                <w:rFonts w:ascii="Arial" w:cs="Arial" w:eastAsia="Arial" w:hAnsi="Arial"/>
                <w:sz w:val="20"/>
                <w:szCs w:val="20"/>
                <w:color w:val="auto"/>
                <w:vertAlign w:val="superscript"/>
              </w:rPr>
              <w:t>(5)</w:t>
            </w:r>
          </w:p>
        </w:tc>
        <w:tc>
          <w:tcPr>
            <w:tcW w:w="10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(212)</w:t>
            </w:r>
          </w:p>
        </w:tc>
        <w:tc>
          <w:tcPr>
            <w:tcW w:w="100" w:type="dxa"/>
            <w:vAlign w:val="bottom"/>
          </w:tcPr>
          <w:p>
            <w:pPr>
              <w:spacing w:after="0"/>
              <w:rPr>
                <w:sz w:val="22"/>
                <w:szCs w:val="22"/>
                <w:color w:val="auto"/>
              </w:rPr>
            </w:pPr>
          </w:p>
        </w:tc>
        <w:tc>
          <w:tcPr>
            <w:tcW w:w="3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(302)</w:t>
            </w:r>
          </w:p>
        </w:tc>
        <w:tc>
          <w:tcPr>
            <w:tcW w:w="10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(463)</w:t>
            </w:r>
          </w:p>
        </w:tc>
        <w:tc>
          <w:tcPr>
            <w:tcW w:w="100" w:type="dxa"/>
            <w:vAlign w:val="bottom"/>
          </w:tcPr>
          <w:p>
            <w:pPr>
              <w:spacing w:after="0"/>
              <w:rPr>
                <w:sz w:val="22"/>
                <w:szCs w:val="22"/>
                <w:color w:val="auto"/>
              </w:rPr>
            </w:pPr>
          </w:p>
        </w:tc>
        <w:tc>
          <w:tcPr>
            <w:tcW w:w="3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(534)</w:t>
            </w:r>
          </w:p>
        </w:tc>
        <w:tc>
          <w:tcPr>
            <w:tcW w:w="10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71</w:t>
            </w:r>
          </w:p>
        </w:tc>
      </w:tr>
      <w:tr>
        <w:trPr>
          <w:trHeight w:val="277"/>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Total net interest income</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7,268</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7,035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233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3"/>
              <w:spacing w:after="0"/>
              <w:rPr>
                <w:sz w:val="20"/>
                <w:szCs w:val="20"/>
                <w:color w:val="auto"/>
              </w:rPr>
            </w:pPr>
            <w:r>
              <w:rPr>
                <w:rFonts w:ascii="Arial" w:cs="Arial" w:eastAsia="Arial" w:hAnsi="Arial"/>
                <w:sz w:val="15"/>
                <w:szCs w:val="15"/>
                <w:b w:val="1"/>
                <w:bCs w:val="1"/>
                <w:color w:val="auto"/>
              </w:rPr>
              <w:t>14,291</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13,821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470</w:t>
            </w:r>
          </w:p>
        </w:tc>
      </w:tr>
      <w:tr>
        <w:trPr>
          <w:trHeight w:val="20"/>
        </w:trPr>
        <w:tc>
          <w:tcPr>
            <w:tcW w:w="42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220" w:hanging="237"/>
        <w:spacing w:after="0" w:line="218" w:lineRule="auto"/>
        <w:tabs>
          <w:tab w:leader="none" w:pos="233"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Excludes revenues generated by the 10 basis point guaranty fee increase we implemented pursuant to the TCCA, the incremental revenue from which is paid to Treasury and not retained by us.</w:t>
      </w:r>
    </w:p>
    <w:p>
      <w:pPr>
        <w:spacing w:after="0" w:line="26" w:lineRule="exact"/>
        <w:rPr>
          <w:rFonts w:ascii="Arial" w:cs="Arial" w:eastAsia="Arial" w:hAnsi="Arial"/>
          <w:sz w:val="18"/>
          <w:szCs w:val="18"/>
          <w:color w:val="auto"/>
          <w:vertAlign w:val="superscript"/>
        </w:rPr>
      </w:pPr>
    </w:p>
    <w:p>
      <w:pPr>
        <w:ind w:left="240" w:right="80" w:hanging="237"/>
        <w:spacing w:after="0" w:line="275" w:lineRule="auto"/>
        <w:tabs>
          <w:tab w:leader="none" w:pos="233" w:val="left"/>
        </w:tabs>
        <w:numPr>
          <w:ilvl w:val="0"/>
          <w:numId w:val="10"/>
        </w:numPr>
        <w:rPr>
          <w:rFonts w:ascii="Arial" w:cs="Arial" w:eastAsia="Arial" w:hAnsi="Arial"/>
          <w:sz w:val="9"/>
          <w:szCs w:val="9"/>
          <w:color w:val="auto"/>
        </w:rPr>
      </w:pPr>
      <w:r>
        <w:rPr>
          <w:rFonts w:ascii="Arial" w:cs="Arial" w:eastAsia="Arial" w:hAnsi="Arial"/>
          <w:sz w:val="14"/>
          <w:szCs w:val="14"/>
          <w:color w:val="auto"/>
        </w:rPr>
        <w:t>Represents revenues generated by the 10 basis point guaranty fee increase we implemented pursuant to the TCCA, the incremental revenue from which is paid to Treasury and not retained by us.</w:t>
      </w:r>
    </w:p>
    <w:p>
      <w:pPr>
        <w:ind w:left="220" w:hanging="217"/>
        <w:spacing w:after="0"/>
        <w:tabs>
          <w:tab w:leader="none" w:pos="2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Excludes the amortization of cost basis adjustments resulting from hedge accounting, which is included in income (expense) from hedge accounting.</w:t>
      </w:r>
    </w:p>
    <w:p>
      <w:pPr>
        <w:spacing w:after="0" w:line="37" w:lineRule="exact"/>
        <w:rPr>
          <w:rFonts w:ascii="Arial" w:cs="Arial" w:eastAsia="Arial" w:hAnsi="Arial"/>
          <w:sz w:val="18"/>
          <w:szCs w:val="18"/>
          <w:color w:val="auto"/>
          <w:vertAlign w:val="superscript"/>
        </w:rPr>
      </w:pPr>
    </w:p>
    <w:p>
      <w:pPr>
        <w:ind w:left="240" w:right="40" w:hanging="237"/>
        <w:spacing w:after="0" w:line="219" w:lineRule="auto"/>
        <w:tabs>
          <w:tab w:leader="none" w:pos="233"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Includes interest income from assets held in our retained mortgage portfolio and our corporate liquidity portfolio, as well as other assets used to support lender liquidity. Also includes interest expense on our funding debt, including outstanding CAS debt.</w:t>
      </w:r>
    </w:p>
    <w:p>
      <w:pPr>
        <w:spacing w:after="0" w:line="13"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0"/>
        </w:numPr>
        <w:rPr>
          <w:rFonts w:ascii="Arial" w:cs="Arial" w:eastAsia="Arial" w:hAnsi="Arial"/>
          <w:sz w:val="9"/>
          <w:szCs w:val="9"/>
          <w:color w:val="auto"/>
        </w:rPr>
      </w:pPr>
      <w:r>
        <w:rPr>
          <w:rFonts w:ascii="Arial" w:cs="Arial" w:eastAsia="Arial" w:hAnsi="Arial"/>
          <w:sz w:val="14"/>
          <w:szCs w:val="14"/>
          <w:color w:val="auto"/>
        </w:rPr>
        <w:t>For more information about our hedge accounting program, see “Note 9, Derivative Instruments.”</w:t>
      </w:r>
    </w:p>
    <w:p>
      <w:pPr>
        <w:spacing w:after="0" w:line="7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Net interest income increased in the second quarter of 2024 compared with the second quarter of 2023, primarily as a result of lower expense from hedge accounting, higher base guaranty fee income and higher net interest income from portfolios.</w:t>
      </w:r>
    </w:p>
    <w:p>
      <w:pPr>
        <w:spacing w:after="0" w:line="28" w:lineRule="exact"/>
        <w:rPr>
          <w:sz w:val="20"/>
          <w:szCs w:val="20"/>
          <w:color w:val="auto"/>
        </w:rPr>
      </w:pPr>
    </w:p>
    <w:p>
      <w:pPr>
        <w:ind w:left="620" w:right="60" w:hanging="307"/>
        <w:spacing w:after="0" w:line="272" w:lineRule="auto"/>
        <w:tabs>
          <w:tab w:leader="none" w:pos="612"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Lower expense from hedge accounting</w:t>
      </w:r>
      <w:r>
        <w:rPr>
          <w:rFonts w:ascii="Arial" w:cs="Arial" w:eastAsia="Arial" w:hAnsi="Arial"/>
          <w:sz w:val="16"/>
          <w:szCs w:val="16"/>
          <w:color w:val="auto"/>
        </w:rPr>
        <w:t>. We had lower expense from hedge accounting in the second quarter of 2024 compared with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2023, primarily driven by lower interest expense on derivatives in hedging relationships in the second quarter of 2024 than in the second quarter of 2023.</w:t>
      </w:r>
    </w:p>
    <w:p>
      <w:pPr>
        <w:spacing w:after="0" w:line="31" w:lineRule="exact"/>
        <w:rPr>
          <w:rFonts w:ascii="Arial" w:cs="Arial" w:eastAsia="Arial" w:hAnsi="Arial"/>
          <w:sz w:val="16"/>
          <w:szCs w:val="16"/>
          <w:color w:val="auto"/>
        </w:rPr>
      </w:pPr>
    </w:p>
    <w:p>
      <w:pPr>
        <w:ind w:left="620" w:right="100" w:hanging="307"/>
        <w:spacing w:after="0" w:line="293" w:lineRule="auto"/>
        <w:tabs>
          <w:tab w:leader="none" w:pos="612"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Higher base guaranty fee income</w:t>
      </w:r>
      <w:r>
        <w:rPr>
          <w:rFonts w:ascii="Arial" w:cs="Arial" w:eastAsia="Arial" w:hAnsi="Arial"/>
          <w:sz w:val="16"/>
          <w:szCs w:val="16"/>
          <w:color w:val="auto"/>
        </w:rPr>
        <w:t>. Higher average charged guaranty fees on our single-family guaranty book of business was the primary driver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in base guaranty fee income in the second quarter of 2024 compared with the second quarter of 2023.</w:t>
      </w:r>
    </w:p>
    <w:p>
      <w:pPr>
        <w:spacing w:after="0" w:line="27" w:lineRule="exact"/>
        <w:rPr>
          <w:rFonts w:ascii="Arial" w:cs="Arial" w:eastAsia="Arial" w:hAnsi="Arial"/>
          <w:sz w:val="16"/>
          <w:szCs w:val="16"/>
          <w:color w:val="auto"/>
        </w:rPr>
      </w:pPr>
    </w:p>
    <w:p>
      <w:pPr>
        <w:ind w:left="620" w:right="200" w:hanging="307"/>
        <w:spacing w:after="0" w:line="266" w:lineRule="auto"/>
        <w:tabs>
          <w:tab w:leader="none" w:pos="612"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Higher net interest income from portfolios. </w:t>
      </w:r>
      <w:r>
        <w:rPr>
          <w:rFonts w:ascii="Arial" w:cs="Arial" w:eastAsia="Arial" w:hAnsi="Arial"/>
          <w:sz w:val="16"/>
          <w:szCs w:val="16"/>
          <w:color w:val="auto"/>
        </w:rPr>
        <w:t>Higher net interest income from portfolios in the second quarter of 2024 compared with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2023 was primarily driven by higher interest rates in the second quarter of 2024 than in the second quarter of 2023 on securities in our corporate liquidity portfolio, primarily securities purchased under agreements to resell. See “Liquidity and Capital Management—Liquidity Management—Corporate Liquidity Portfolio” for more information about our corporate liquidity portfolio.</w:t>
      </w:r>
    </w:p>
    <w:p>
      <w:pPr>
        <w:spacing w:after="0" w:line="3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Net interest income increased in the first half of 2024 compared with the first half of 2023, primarily as a result of higher net interest income from portfolios and higher base guaranty fee income.</w:t>
      </w:r>
    </w:p>
    <w:p>
      <w:pPr>
        <w:spacing w:after="0" w:line="28" w:lineRule="exact"/>
        <w:rPr>
          <w:sz w:val="20"/>
          <w:szCs w:val="20"/>
          <w:color w:val="auto"/>
        </w:rPr>
      </w:pPr>
    </w:p>
    <w:p>
      <w:pPr>
        <w:ind w:left="620" w:right="140" w:hanging="307"/>
        <w:spacing w:after="0" w:line="266" w:lineRule="auto"/>
        <w:tabs>
          <w:tab w:leader="none" w:pos="612"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Higher net interest income from portfolios. </w:t>
      </w:r>
      <w:r>
        <w:rPr>
          <w:rFonts w:ascii="Arial" w:cs="Arial" w:eastAsia="Arial" w:hAnsi="Arial"/>
          <w:sz w:val="16"/>
          <w:szCs w:val="16"/>
          <w:color w:val="auto"/>
        </w:rPr>
        <w:t>Higher net interest income from portfolios in the first half of 2024 compared with the first half of 2023</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driven by slightly higher interest rates in the first half of 2024 than in the first half of 2023 on securities in our corporate liquidity portfolio, primarily securities purchased under agreements to resell. This was partially offset by higher interest expense on funding debt, also as a result of higher interest rates.</w:t>
      </w:r>
    </w:p>
    <w:p>
      <w:pPr>
        <w:spacing w:after="0" w:line="35" w:lineRule="exact"/>
        <w:rPr>
          <w:rFonts w:ascii="Arial" w:cs="Arial" w:eastAsia="Arial" w:hAnsi="Arial"/>
          <w:sz w:val="16"/>
          <w:szCs w:val="16"/>
          <w:i w:val="1"/>
          <w:iCs w:val="1"/>
          <w:color w:val="auto"/>
        </w:rPr>
      </w:pPr>
    </w:p>
    <w:p>
      <w:pPr>
        <w:ind w:left="620" w:right="100" w:hanging="307"/>
        <w:spacing w:after="0" w:line="310" w:lineRule="auto"/>
        <w:tabs>
          <w:tab w:leader="none" w:pos="612"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Higher base guaranty fee income</w:t>
      </w:r>
      <w:r>
        <w:rPr>
          <w:rFonts w:ascii="Arial" w:cs="Arial" w:eastAsia="Arial" w:hAnsi="Arial"/>
          <w:sz w:val="16"/>
          <w:szCs w:val="16"/>
          <w:color w:val="auto"/>
        </w:rPr>
        <w:t>. Higher average charged guaranty fees on our single-family guaranty book of business was the primary driver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in base guaranty fee income in the first half of 2024 compared with the first half of 2023.</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80" w:type="dxa"/>
            <w:vAlign w:val="bottom"/>
            <w:tcBorders>
              <w:bottom w:val="single" w:sz="8" w:color="9A9A9A"/>
            </w:tcBorders>
          </w:tcPr>
          <w:p>
            <w:pPr>
              <w:spacing w:after="0"/>
              <w:rPr>
                <w:sz w:val="17"/>
                <w:szCs w:val="17"/>
                <w:color w:val="auto"/>
              </w:rPr>
            </w:pPr>
          </w:p>
        </w:tc>
        <w:tc>
          <w:tcPr>
            <w:tcW w:w="4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 w:name="page11"/>
    <w:bookmarkEnd w:id="10"/>
    <w:p>
      <w:pPr>
        <w:jc w:val="right"/>
        <w:ind w:right="12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Analysis of Unamortized Deferred Guaranty Fees</w:t>
      </w:r>
    </w:p>
    <w:p>
      <w:pPr>
        <w:spacing w:after="0" w:line="80" w:lineRule="exact"/>
        <w:rPr>
          <w:sz w:val="20"/>
          <w:szCs w:val="20"/>
          <w:color w:val="auto"/>
        </w:rPr>
      </w:pPr>
    </w:p>
    <w:p>
      <w:pPr>
        <w:ind w:right="660"/>
        <w:spacing w:after="0" w:line="293" w:lineRule="auto"/>
        <w:rPr>
          <w:sz w:val="20"/>
          <w:szCs w:val="20"/>
          <w:color w:val="auto"/>
        </w:rPr>
      </w:pPr>
      <w:r>
        <w:rPr>
          <w:rFonts w:ascii="Arial" w:cs="Arial" w:eastAsia="Arial" w:hAnsi="Arial"/>
          <w:sz w:val="16"/>
          <w:szCs w:val="16"/>
          <w:color w:val="auto"/>
        </w:rPr>
        <w:t>The following charts present information about the interest rates of the loans in our single-family conventional guaranty book of business as well as information about our deferred guaranty fees.</w:t>
      </w:r>
    </w:p>
    <w:p>
      <w:pPr>
        <w:spacing w:after="0" w:line="15" w:lineRule="exact"/>
        <w:rPr>
          <w:sz w:val="20"/>
          <w:szCs w:val="20"/>
          <w:color w:val="auto"/>
        </w:rPr>
      </w:pPr>
    </w:p>
    <w:p>
      <w:pPr>
        <w:ind w:right="340"/>
        <w:spacing w:after="0" w:line="246" w:lineRule="auto"/>
        <w:rPr>
          <w:sz w:val="20"/>
          <w:szCs w:val="20"/>
          <w:color w:val="auto"/>
        </w:rPr>
      </w:pPr>
      <w:r>
        <w:rPr>
          <w:rFonts w:ascii="Arial" w:cs="Arial" w:eastAsia="Arial" w:hAnsi="Arial"/>
          <w:sz w:val="16"/>
          <w:szCs w:val="16"/>
          <w:color w:val="auto"/>
        </w:rPr>
        <w:t>As shown in the chart below (on the left), nearly all of our single-family conventional guaranty book of business as of June 30, 2024 had an interest rate lower than the average 30-year fixed-rate mortgage rate. Per Freddie Mac’s Primary Mortgage Market Survey</w:t>
      </w:r>
      <w:r>
        <w:rPr>
          <w:rFonts w:ascii="Arial" w:cs="Arial" w:eastAsia="Arial" w:hAnsi="Arial"/>
          <w:sz w:val="21"/>
          <w:szCs w:val="21"/>
          <w:b w:val="1"/>
          <w:bCs w:val="1"/>
          <w:color w:val="auto"/>
          <w:vertAlign w:val="superscript"/>
        </w:rPr>
        <w:t>®</w:t>
      </w:r>
      <w:r>
        <w:rPr>
          <w:rFonts w:ascii="Arial" w:cs="Arial" w:eastAsia="Arial" w:hAnsi="Arial"/>
          <w:sz w:val="16"/>
          <w:szCs w:val="16"/>
          <w:color w:val="auto"/>
        </w:rPr>
        <w:t>, as of June 27, 2024, the U.S. weekly average interest rate for a single-family 30-year fixed-rate mortgage was 6.86%. Accordingly, even if interest rates decline meaningfully, most of the borrowers whose mortgage loans are in our single-family conventional guaranty book of business still would not be incentivized to refinance.</w:t>
      </w:r>
    </w:p>
    <w:p>
      <w:pPr>
        <w:spacing w:after="0" w:line="50"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The other chart below (on the right) presents guaranty fees that will be amortized into deferred guaranty fee income in future periods, which we refer to as “unamortized deferred guaranty fees,” as described in “MD&amp;A—Consolidated Results of Operations—Net Interest Income—Analysis of Unamortized Deferred Guaranty Fees” in our 2023 Form 10-K.</w:t>
      </w:r>
    </w:p>
    <w:p>
      <w:pPr>
        <w:spacing w:after="0" w:line="200" w:lineRule="exact"/>
        <w:rPr>
          <w:sz w:val="20"/>
          <w:szCs w:val="20"/>
          <w:color w:val="auto"/>
        </w:rPr>
      </w:pP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980" w:type="dxa"/>
            <w:vAlign w:val="bottom"/>
          </w:tcPr>
          <w:p>
            <w:pPr>
              <w:jc w:val="center"/>
              <w:ind w:right="366"/>
              <w:spacing w:after="0"/>
              <w:rPr>
                <w:sz w:val="20"/>
                <w:szCs w:val="20"/>
                <w:color w:val="auto"/>
              </w:rPr>
            </w:pPr>
            <w:r>
              <w:rPr>
                <w:rFonts w:ascii="Georgia" w:cs="Georgia" w:eastAsia="Georgia" w:hAnsi="Georgia"/>
                <w:sz w:val="19"/>
                <w:szCs w:val="19"/>
                <w:b w:val="1"/>
                <w:bCs w:val="1"/>
                <w:color w:val="001543"/>
                <w:w w:val="99"/>
              </w:rPr>
              <w:t>Interest Rates of Single-Family Conventional Guaranty</w:t>
            </w:r>
          </w:p>
        </w:tc>
        <w:tc>
          <w:tcPr>
            <w:tcW w:w="4320" w:type="dxa"/>
            <w:vAlign w:val="bottom"/>
          </w:tcPr>
          <w:p>
            <w:pPr>
              <w:spacing w:after="0"/>
              <w:rPr>
                <w:sz w:val="18"/>
                <w:szCs w:val="18"/>
                <w:color w:val="auto"/>
              </w:rPr>
            </w:pPr>
          </w:p>
        </w:tc>
      </w:tr>
      <w:tr>
        <w:trPr>
          <w:trHeight w:val="232"/>
        </w:trPr>
        <w:tc>
          <w:tcPr>
            <w:tcW w:w="5980" w:type="dxa"/>
            <w:vAlign w:val="bottom"/>
          </w:tcPr>
          <w:p>
            <w:pPr>
              <w:jc w:val="center"/>
              <w:ind w:right="366"/>
              <w:spacing w:after="0"/>
              <w:rPr>
                <w:sz w:val="20"/>
                <w:szCs w:val="20"/>
                <w:color w:val="auto"/>
              </w:rPr>
            </w:pPr>
            <w:r>
              <w:rPr>
                <w:rFonts w:ascii="Georgia" w:cs="Georgia" w:eastAsia="Georgia" w:hAnsi="Georgia"/>
                <w:sz w:val="19"/>
                <w:szCs w:val="19"/>
                <w:b w:val="1"/>
                <w:bCs w:val="1"/>
                <w:color w:val="001543"/>
                <w:w w:val="99"/>
              </w:rPr>
              <w:t>Book of Business Compared with Average 30-Year Fixed-</w:t>
            </w:r>
          </w:p>
        </w:tc>
        <w:tc>
          <w:tcPr>
            <w:tcW w:w="4320" w:type="dxa"/>
            <w:vAlign w:val="bottom"/>
          </w:tcPr>
          <w:p>
            <w:pPr>
              <w:spacing w:after="0"/>
              <w:rPr>
                <w:sz w:val="20"/>
                <w:szCs w:val="20"/>
                <w:color w:val="auto"/>
              </w:rPr>
            </w:pPr>
          </w:p>
        </w:tc>
      </w:tr>
      <w:tr>
        <w:trPr>
          <w:trHeight w:val="277"/>
        </w:trPr>
        <w:tc>
          <w:tcPr>
            <w:tcW w:w="5980" w:type="dxa"/>
            <w:vAlign w:val="bottom"/>
          </w:tcPr>
          <w:p>
            <w:pPr>
              <w:jc w:val="center"/>
              <w:ind w:right="366"/>
              <w:spacing w:after="0"/>
              <w:rPr>
                <w:sz w:val="20"/>
                <w:szCs w:val="20"/>
                <w:color w:val="auto"/>
              </w:rPr>
            </w:pPr>
            <w:r>
              <w:rPr>
                <w:rFonts w:ascii="Georgia" w:cs="Georgia" w:eastAsia="Georgia" w:hAnsi="Georgia"/>
                <w:sz w:val="19"/>
                <w:szCs w:val="19"/>
                <w:b w:val="1"/>
                <w:bCs w:val="1"/>
                <w:color w:val="001543"/>
                <w:w w:val="99"/>
              </w:rPr>
              <w:t>Rate Mortgage Rate</w:t>
            </w:r>
          </w:p>
        </w:tc>
        <w:tc>
          <w:tcPr>
            <w:tcW w:w="4320" w:type="dxa"/>
            <w:vAlign w:val="bottom"/>
          </w:tcPr>
          <w:p>
            <w:pPr>
              <w:jc w:val="center"/>
              <w:ind w:left="386"/>
              <w:spacing w:after="0"/>
              <w:rPr>
                <w:sz w:val="20"/>
                <w:szCs w:val="20"/>
                <w:color w:val="auto"/>
              </w:rPr>
            </w:pPr>
            <w:r>
              <w:rPr>
                <w:rFonts w:ascii="Georgia" w:cs="Georgia" w:eastAsia="Georgia" w:hAnsi="Georgia"/>
                <w:sz w:val="19"/>
                <w:szCs w:val="19"/>
                <w:b w:val="1"/>
                <w:bCs w:val="1"/>
                <w:color w:val="05314D"/>
                <w:w w:val="98"/>
              </w:rPr>
              <w:t>Unamortized Deferred Guaranty Fees</w:t>
            </w:r>
            <w:r>
              <w:rPr>
                <w:rFonts w:ascii="Georgia" w:cs="Georgia" w:eastAsia="Georgia" w:hAnsi="Georgia"/>
                <w:sz w:val="24"/>
                <w:szCs w:val="24"/>
                <w:b w:val="1"/>
                <w:bCs w:val="1"/>
                <w:color w:val="05314D"/>
                <w:w w:val="98"/>
                <w:vertAlign w:val="superscript"/>
              </w:rPr>
              <w:t>(1)</w:t>
            </w:r>
          </w:p>
        </w:tc>
      </w:tr>
      <w:tr>
        <w:trPr>
          <w:trHeight w:val="213"/>
        </w:trPr>
        <w:tc>
          <w:tcPr>
            <w:tcW w:w="5980" w:type="dxa"/>
            <w:vAlign w:val="bottom"/>
          </w:tcPr>
          <w:p>
            <w:pPr>
              <w:jc w:val="center"/>
              <w:ind w:right="386"/>
              <w:spacing w:after="0" w:line="214" w:lineRule="exact"/>
              <w:rPr>
                <w:sz w:val="20"/>
                <w:szCs w:val="20"/>
                <w:color w:val="auto"/>
              </w:rPr>
            </w:pPr>
            <w:r>
              <w:rPr>
                <w:rFonts w:ascii="Georgia" w:cs="Georgia" w:eastAsia="Georgia" w:hAnsi="Georgia"/>
                <w:sz w:val="19"/>
                <w:szCs w:val="19"/>
                <w:b w:val="1"/>
                <w:bCs w:val="1"/>
                <w:color w:val="05314D"/>
                <w:w w:val="98"/>
              </w:rPr>
              <w:t>As of June 30, 2024</w:t>
            </w:r>
          </w:p>
        </w:tc>
        <w:tc>
          <w:tcPr>
            <w:tcW w:w="4320" w:type="dxa"/>
            <w:vAlign w:val="bottom"/>
          </w:tcPr>
          <w:p>
            <w:pPr>
              <w:jc w:val="center"/>
              <w:ind w:left="366"/>
              <w:spacing w:after="0" w:line="214" w:lineRule="exact"/>
              <w:rPr>
                <w:sz w:val="20"/>
                <w:szCs w:val="20"/>
                <w:color w:val="auto"/>
              </w:rPr>
            </w:pPr>
            <w:r>
              <w:rPr>
                <w:rFonts w:ascii="Georgia" w:cs="Georgia" w:eastAsia="Georgia" w:hAnsi="Georgia"/>
                <w:sz w:val="19"/>
                <w:szCs w:val="19"/>
                <w:b w:val="1"/>
                <w:bCs w:val="1"/>
                <w:color w:val="05314D"/>
                <w:w w:val="98"/>
              </w:rPr>
              <w:t>(Dollars in billions)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121920</wp:posOffset>
            </wp:positionV>
            <wp:extent cx="5403215" cy="2193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03215" cy="219392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24"/>
          <w:szCs w:val="124"/>
          <w:b w:val="1"/>
          <w:bCs w:val="1"/>
          <w:color w:val="FFB400"/>
        </w:rPr>
        <w:t>—</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4"/>
          <w:szCs w:val="124"/>
          <w:b w:val="1"/>
          <w:bCs w:val="1"/>
          <w:color w:val="05314D"/>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60"/>
        <w:spacing w:after="0" w:line="233" w:lineRule="auto"/>
        <w:rPr>
          <w:sz w:val="20"/>
          <w:szCs w:val="20"/>
          <w:color w:val="auto"/>
        </w:rPr>
      </w:pPr>
      <w:r>
        <w:rPr>
          <w:rFonts w:ascii="Arial" w:cs="Arial" w:eastAsia="Arial" w:hAnsi="Arial"/>
          <w:sz w:val="14"/>
          <w:szCs w:val="14"/>
          <w:color w:val="auto"/>
        </w:rPr>
        <w:t>Represents the average 30-year fixed-rate mortgage rate as of June 27, 2024, according to Freddie Mac’s Primary Mortgage Market Survey</w:t>
      </w:r>
      <w:r>
        <w:rPr>
          <w:rFonts w:ascii="Arial" w:cs="Arial" w:eastAsia="Arial" w:hAnsi="Arial"/>
          <w:sz w:val="17"/>
          <w:szCs w:val="17"/>
          <w:color w:val="auto"/>
          <w:vertAlign w:val="superscript"/>
        </w:rPr>
        <w:t>®</w:t>
      </w:r>
      <w:r>
        <w:rPr>
          <w:rFonts w:ascii="Arial" w:cs="Arial" w:eastAsia="Arial" w:hAnsi="Arial"/>
          <w:sz w:val="14"/>
          <w:szCs w:val="14"/>
          <w:color w:val="auto"/>
        </w:rPr>
        <w:t>, the last published rate for the quarter ending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Represents the percentage of single-family conventional guaranty book of business by select interest rate band based on the current interest rate of the mortgage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55" w:right="80" w:hanging="255"/>
        <w:spacing w:after="0" w:line="200" w:lineRule="auto"/>
        <w:tabs>
          <w:tab w:leader="none" w:pos="255"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Represents the net unamortized cost basis adjustments (consisting of premiums and discounts on single-family and multifamily mortgage loans and debt of consolidated trusts) that will be recognized through deferred guaranty fee income over the remaining contractual life of the mortgage loans or debt. Although we are in a net premium position for both mortgage loans and debt of consolidated trusts, we have a greater amount of premiums with respect to debt of consolidated trusts. Primarily as a result of the upfront fees we charge, the net amortization of these cost basis adjustments will result in income.</w:t>
      </w:r>
    </w:p>
    <w:p>
      <w:pPr>
        <w:spacing w:after="0" w:line="1739" w:lineRule="exact"/>
        <w:rPr>
          <w:sz w:val="20"/>
          <w:szCs w:val="20"/>
          <w:color w:val="auto"/>
        </w:rPr>
      </w:pPr>
    </w:p>
    <w:p>
      <w:pPr>
        <w:sectPr>
          <w:pgSz w:w="11900" w:h="16838" w:orient="portrait"/>
          <w:cols w:equalWidth="0" w:num="3">
            <w:col w:w="1260" w:space="180"/>
            <w:col w:w="4480" w:space="545"/>
            <w:col w:w="4775"/>
          </w:cols>
          <w:pgMar w:left="320" w:top="2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8</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80" w:type="dxa"/>
            <w:vAlign w:val="bottom"/>
            <w:tcBorders>
              <w:bottom w:val="single" w:sz="8" w:color="9A9A9A"/>
            </w:tcBorders>
          </w:tcPr>
          <w:p>
            <w:pPr>
              <w:spacing w:after="0"/>
              <w:rPr>
                <w:sz w:val="16"/>
                <w:szCs w:val="16"/>
                <w:color w:val="auto"/>
              </w:rPr>
            </w:pPr>
          </w:p>
        </w:tc>
        <w:tc>
          <w:tcPr>
            <w:tcW w:w="41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1" w:name="page12"/>
    <w:bookmarkEnd w:id="11"/>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Analysis of Net Interest Income</w:t>
      </w:r>
    </w:p>
    <w:p>
      <w:pPr>
        <w:spacing w:after="0" w:line="80" w:lineRule="exact"/>
        <w:rPr>
          <w:sz w:val="20"/>
          <w:szCs w:val="20"/>
          <w:color w:val="auto"/>
        </w:rPr>
      </w:pPr>
    </w:p>
    <w:p>
      <w:pPr>
        <w:jc w:val="both"/>
        <w:ind w:right="120"/>
        <w:spacing w:after="0" w:line="272" w:lineRule="auto"/>
        <w:rPr>
          <w:sz w:val="20"/>
          <w:szCs w:val="20"/>
          <w:color w:val="auto"/>
        </w:rPr>
      </w:pPr>
      <w:r>
        <w:rPr>
          <w:rFonts w:ascii="Arial" w:cs="Arial" w:eastAsia="Arial" w:hAnsi="Arial"/>
          <w:sz w:val="16"/>
          <w:szCs w:val="16"/>
          <w:color w:val="auto"/>
        </w:rPr>
        <w:t>The table below displays an analysis of our net interest income, average balances and related yields earned on assets and incurred on liabilities. For most components of the average balances, we use a daily weighted average of unpaid principal balance net of unamortized cost basis adjustments. When daily average balance information is not available, such as for mortgage loans, we use monthly averages.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Analysis of Net Interest Income and Yield</w:t>
      </w:r>
      <w:r>
        <w:rPr>
          <w:rFonts w:ascii="Arial" w:cs="Arial" w:eastAsia="Arial" w:hAnsi="Arial"/>
          <w:sz w:val="24"/>
          <w:szCs w:val="24"/>
          <w:b w:val="1"/>
          <w:bCs w:val="1"/>
          <w:color w:val="05314D"/>
          <w:vertAlign w:val="superscript"/>
        </w:rPr>
        <w:t>(1)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0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20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80" w:type="dxa"/>
            <w:vAlign w:val="bottom"/>
            <w:tcBorders>
              <w:top w:val="single" w:sz="8" w:color="2C6937"/>
              <w:bottom w:val="single" w:sz="8" w:color="2C6937"/>
            </w:tcBorders>
          </w:tcPr>
          <w:p>
            <w:pPr>
              <w:spacing w:after="0"/>
              <w:rPr>
                <w:sz w:val="18"/>
                <w:szCs w:val="18"/>
                <w:color w:val="auto"/>
              </w:rPr>
            </w:pPr>
          </w:p>
        </w:tc>
        <w:tc>
          <w:tcPr>
            <w:tcW w:w="1080" w:type="dxa"/>
            <w:vAlign w:val="bottom"/>
            <w:tcBorders>
              <w:top w:val="single" w:sz="8" w:color="2C6937"/>
              <w:bottom w:val="single" w:sz="8" w:color="2C6937"/>
            </w:tcBorders>
          </w:tcPr>
          <w:p>
            <w:pPr>
              <w:spacing w:after="0"/>
              <w:rPr>
                <w:sz w:val="18"/>
                <w:szCs w:val="18"/>
                <w:color w:val="auto"/>
              </w:rPr>
            </w:pPr>
          </w:p>
        </w:tc>
        <w:tc>
          <w:tcPr>
            <w:tcW w:w="2900" w:type="dxa"/>
            <w:vAlign w:val="bottom"/>
            <w:tcBorders>
              <w:top w:val="single" w:sz="8" w:color="2C6937"/>
              <w:bottom w:val="single" w:sz="8" w:color="2C6937"/>
            </w:tcBorders>
            <w:gridSpan w:val="6"/>
          </w:tcPr>
          <w:p>
            <w:pPr>
              <w:jc w:val="center"/>
              <w:spacing w:after="0"/>
              <w:rPr>
                <w:sz w:val="20"/>
                <w:szCs w:val="20"/>
                <w:color w:val="auto"/>
              </w:rPr>
            </w:pPr>
            <w:r>
              <w:rPr>
                <w:rFonts w:ascii="Arial" w:cs="Arial" w:eastAsia="Arial" w:hAnsi="Arial"/>
                <w:sz w:val="15"/>
                <w:szCs w:val="15"/>
                <w:b w:val="1"/>
                <w:bCs w:val="1"/>
                <w:color w:val="auto"/>
              </w:rPr>
              <w:t>For the Three Months Ended June 30,</w:t>
            </w:r>
          </w:p>
        </w:tc>
        <w:tc>
          <w:tcPr>
            <w:tcW w:w="1080" w:type="dxa"/>
            <w:vAlign w:val="bottom"/>
            <w:tcBorders>
              <w:top w:val="single" w:sz="8" w:color="2C6937"/>
              <w:bottom w:val="single" w:sz="8" w:color="2C6937"/>
            </w:tcBorders>
          </w:tcPr>
          <w:p>
            <w:pPr>
              <w:spacing w:after="0"/>
              <w:rPr>
                <w:sz w:val="18"/>
                <w:szCs w:val="18"/>
                <w:color w:val="auto"/>
              </w:rPr>
            </w:pPr>
          </w:p>
        </w:tc>
        <w:tc>
          <w:tcPr>
            <w:tcW w:w="1360" w:type="dxa"/>
            <w:vAlign w:val="bottom"/>
            <w:tcBorders>
              <w:top w:val="single" w:sz="8" w:color="2C6937"/>
              <w:bottom w:val="single" w:sz="8" w:color="2C6937"/>
            </w:tcBorders>
          </w:tcPr>
          <w:p>
            <w:pPr>
              <w:spacing w:after="0"/>
              <w:rPr>
                <w:sz w:val="18"/>
                <w:szCs w:val="18"/>
                <w:color w:val="auto"/>
              </w:rPr>
            </w:pPr>
          </w:p>
        </w:tc>
      </w:tr>
      <w:tr>
        <w:trPr>
          <w:trHeight w:val="199"/>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2024</w:t>
            </w:r>
          </w:p>
        </w:tc>
        <w:tc>
          <w:tcPr>
            <w:tcW w:w="13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2023</w:t>
            </w:r>
          </w:p>
        </w:tc>
        <w:tc>
          <w:tcPr>
            <w:tcW w:w="1360" w:type="dxa"/>
            <w:vAlign w:val="bottom"/>
            <w:tcBorders>
              <w:bottom w:val="single" w:sz="8" w:color="2C6937"/>
            </w:tcBorders>
          </w:tcPr>
          <w:p>
            <w:pPr>
              <w:spacing w:after="0"/>
              <w:rPr>
                <w:sz w:val="17"/>
                <w:szCs w:val="17"/>
                <w:color w:val="auto"/>
              </w:rPr>
            </w:pPr>
          </w:p>
        </w:tc>
      </w:tr>
      <w:tr>
        <w:trPr>
          <w:trHeight w:val="275"/>
        </w:trPr>
        <w:tc>
          <w:tcPr>
            <w:tcW w:w="3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rPr>
              <w:t>Average Rates</w:t>
            </w:r>
          </w:p>
        </w:tc>
        <w:tc>
          <w:tcPr>
            <w:tcW w:w="180" w:type="dxa"/>
            <w:vAlign w:val="bottom"/>
          </w:tcPr>
          <w:p>
            <w:pPr>
              <w:spacing w:after="0"/>
              <w:rPr>
                <w:sz w:val="23"/>
                <w:szCs w:val="23"/>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360" w:type="dxa"/>
            <w:vAlign w:val="bottom"/>
          </w:tcPr>
          <w:p>
            <w:pPr>
              <w:jc w:val="right"/>
              <w:ind w:right="23"/>
              <w:spacing w:after="0"/>
              <w:rPr>
                <w:sz w:val="20"/>
                <w:szCs w:val="20"/>
                <w:color w:val="auto"/>
              </w:rPr>
            </w:pPr>
            <w:r>
              <w:rPr>
                <w:rFonts w:ascii="Arial" w:cs="Arial" w:eastAsia="Arial" w:hAnsi="Arial"/>
                <w:sz w:val="15"/>
                <w:szCs w:val="15"/>
                <w:b w:val="1"/>
                <w:bCs w:val="1"/>
                <w:color w:val="auto"/>
              </w:rPr>
              <w:t>Average Rates</w:t>
            </w:r>
          </w:p>
        </w:tc>
      </w:tr>
      <w:tr>
        <w:trPr>
          <w:trHeight w:val="217"/>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4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Earned/Paid</w:t>
            </w:r>
          </w:p>
        </w:tc>
        <w:tc>
          <w:tcPr>
            <w:tcW w:w="18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6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b w:val="1"/>
                <w:bCs w:val="1"/>
                <w:color w:val="auto"/>
              </w:rPr>
              <w:t>Earned/Paid</w:t>
            </w:r>
          </w:p>
        </w:tc>
      </w:tr>
      <w:tr>
        <w:trPr>
          <w:trHeight w:val="299"/>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20" w:type="dxa"/>
            <w:vAlign w:val="bottom"/>
            <w:gridSpan w:val="5"/>
          </w:tcPr>
          <w:p>
            <w:pPr>
              <w:jc w:val="center"/>
              <w:ind w:left="43"/>
              <w:spacing w:after="0"/>
              <w:rPr>
                <w:sz w:val="20"/>
                <w:szCs w:val="20"/>
                <w:color w:val="auto"/>
              </w:rPr>
            </w:pPr>
            <w:r>
              <w:rPr>
                <w:rFonts w:ascii="Arial" w:cs="Arial" w:eastAsia="Arial" w:hAnsi="Arial"/>
                <w:sz w:val="15"/>
                <w:szCs w:val="15"/>
                <w:b w:val="1"/>
                <w:bCs w:val="1"/>
                <w:color w:val="auto"/>
              </w:rPr>
              <w:t>(Dollars in millions)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09"/>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Interest-earning assets: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1"/>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Cash and cash equivalents</w:t>
            </w:r>
            <w:r>
              <w:rPr>
                <w:rFonts w:ascii="Arial" w:cs="Arial" w:eastAsia="Arial" w:hAnsi="Arial"/>
                <w:sz w:val="20"/>
                <w:szCs w:val="20"/>
                <w:color w:val="auto"/>
                <w:vertAlign w:val="superscript"/>
              </w:rPr>
              <w:t>(2)</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46,802</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633</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5.41 %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63,956</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807</w:t>
            </w:r>
          </w:p>
        </w:tc>
        <w:tc>
          <w:tcPr>
            <w:tcW w:w="1360" w:type="dxa"/>
            <w:vAlign w:val="bottom"/>
          </w:tcPr>
          <w:p>
            <w:pPr>
              <w:jc w:val="right"/>
              <w:spacing w:after="0"/>
              <w:rPr>
                <w:sz w:val="20"/>
                <w:szCs w:val="20"/>
                <w:color w:val="auto"/>
              </w:rPr>
            </w:pPr>
            <w:r>
              <w:rPr>
                <w:rFonts w:ascii="Arial" w:cs="Arial" w:eastAsia="Arial" w:hAnsi="Arial"/>
                <w:sz w:val="15"/>
                <w:szCs w:val="15"/>
                <w:color w:val="auto"/>
              </w:rPr>
              <w:t>5.05 %</w:t>
            </w:r>
          </w:p>
        </w:tc>
      </w:tr>
      <w:tr>
        <w:trPr>
          <w:trHeight w:val="23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Securities purchased under agreements to</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5"/>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resell</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50,898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693</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5.45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41,131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524</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5.10</w:t>
            </w:r>
          </w:p>
        </w:tc>
      </w:tr>
      <w:tr>
        <w:trPr>
          <w:trHeight w:val="317"/>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Investments in securities</w:t>
            </w:r>
            <w:r>
              <w:rPr>
                <w:rFonts w:ascii="Arial" w:cs="Arial" w:eastAsia="Arial" w:hAnsi="Arial"/>
                <w:sz w:val="20"/>
                <w:szCs w:val="20"/>
                <w:color w:val="auto"/>
                <w:vertAlign w:val="superscript"/>
              </w:rPr>
              <w:t>(3)</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51,974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282</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2.17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53,965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294</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2.18</w:t>
            </w:r>
          </w:p>
        </w:tc>
      </w:tr>
      <w:tr>
        <w:trPr>
          <w:trHeight w:val="204"/>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Mortgage loans: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30"/>
        </w:trPr>
        <w:tc>
          <w:tcPr>
            <w:tcW w:w="3400" w:type="dxa"/>
            <w:vAlign w:val="bottom"/>
            <w:gridSpan w:val="2"/>
          </w:tcPr>
          <w:p>
            <w:pPr>
              <w:ind w:left="280"/>
              <w:spacing w:after="0"/>
              <w:rPr>
                <w:sz w:val="20"/>
                <w:szCs w:val="20"/>
                <w:color w:val="auto"/>
              </w:rPr>
            </w:pPr>
            <w:r>
              <w:rPr>
                <w:rFonts w:ascii="Arial" w:cs="Arial" w:eastAsia="Arial" w:hAnsi="Arial"/>
                <w:sz w:val="15"/>
                <w:szCs w:val="15"/>
                <w:color w:val="auto"/>
              </w:rPr>
              <w:t>Mortgage loans of Fannie Mae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50,041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568</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4.54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51,961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611</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4.70</w:t>
            </w:r>
          </w:p>
        </w:tc>
      </w:tr>
      <w:tr>
        <w:trPr>
          <w:trHeight w:val="303"/>
        </w:trPr>
        <w:tc>
          <w:tcPr>
            <w:tcW w:w="33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Mortgage loans of consolidated trusts</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4,086,295</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35,049</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3.43</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4,075,543</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32,044</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3.15</w:t>
            </w:r>
          </w:p>
        </w:tc>
      </w:tr>
      <w:tr>
        <w:trPr>
          <w:trHeight w:val="355"/>
        </w:trPr>
        <w:tc>
          <w:tcPr>
            <w:tcW w:w="3400" w:type="dxa"/>
            <w:vAlign w:val="bottom"/>
            <w:gridSpan w:val="2"/>
          </w:tcPr>
          <w:p>
            <w:pPr>
              <w:ind w:left="44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(4)</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4,136,336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35,617</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3.44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4,127,504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32,655</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3.16</w:t>
            </w:r>
          </w:p>
        </w:tc>
      </w:tr>
      <w:tr>
        <w:trPr>
          <w:trHeight w:val="257"/>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Advances to lenders</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2,962</w:t>
            </w:r>
          </w:p>
        </w:tc>
        <w:tc>
          <w:tcPr>
            <w:tcW w:w="10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50</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6.75</w:t>
            </w:r>
          </w:p>
        </w:tc>
        <w:tc>
          <w:tcPr>
            <w:tcW w:w="10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3,798</w:t>
            </w:r>
          </w:p>
        </w:tc>
        <w:tc>
          <w:tcPr>
            <w:tcW w:w="10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60</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6.32</w:t>
            </w:r>
          </w:p>
        </w:tc>
      </w:tr>
      <w:tr>
        <w:trPr>
          <w:trHeight w:val="302"/>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interest-earning assets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4,288,972</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37,275</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3.48 %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4,290,354</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34,340</w:t>
            </w:r>
          </w:p>
        </w:tc>
        <w:tc>
          <w:tcPr>
            <w:tcW w:w="1360" w:type="dxa"/>
            <w:vAlign w:val="bottom"/>
          </w:tcPr>
          <w:p>
            <w:pPr>
              <w:jc w:val="right"/>
              <w:spacing w:after="0"/>
              <w:rPr>
                <w:sz w:val="20"/>
                <w:szCs w:val="20"/>
                <w:color w:val="auto"/>
              </w:rPr>
            </w:pPr>
            <w:r>
              <w:rPr>
                <w:rFonts w:ascii="Arial" w:cs="Arial" w:eastAsia="Arial" w:hAnsi="Arial"/>
                <w:sz w:val="15"/>
                <w:szCs w:val="15"/>
                <w:color w:val="auto"/>
              </w:rPr>
              <w:t>3.20 %</w:t>
            </w:r>
          </w:p>
        </w:tc>
      </w:tr>
      <w:tr>
        <w:trPr>
          <w:trHeight w:val="20"/>
        </w:trPr>
        <w:tc>
          <w:tcPr>
            <w:tcW w:w="3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95"/>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Interest-bearing liabilities: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Short-term funding debt</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9,996</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(130)</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5.20 %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14,841</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(183)</w:t>
            </w:r>
          </w:p>
        </w:tc>
        <w:tc>
          <w:tcPr>
            <w:tcW w:w="1360" w:type="dxa"/>
            <w:vAlign w:val="bottom"/>
          </w:tcPr>
          <w:p>
            <w:pPr>
              <w:jc w:val="right"/>
              <w:spacing w:after="0"/>
              <w:rPr>
                <w:sz w:val="20"/>
                <w:szCs w:val="20"/>
                <w:color w:val="auto"/>
              </w:rPr>
            </w:pPr>
            <w:r>
              <w:rPr>
                <w:rFonts w:ascii="Arial" w:cs="Arial" w:eastAsia="Arial" w:hAnsi="Arial"/>
                <w:sz w:val="15"/>
                <w:szCs w:val="15"/>
                <w:color w:val="auto"/>
              </w:rPr>
              <w:t>4.93 %</w:t>
            </w:r>
          </w:p>
        </w:tc>
      </w:tr>
      <w:tr>
        <w:trPr>
          <w:trHeight w:val="309"/>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Long-term funding debt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101,671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(921)</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3.62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119,572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(936)</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3.13</w:t>
            </w:r>
          </w:p>
        </w:tc>
      </w:tr>
      <w:tr>
        <w:trPr>
          <w:trHeight w:val="303"/>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CAS debt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2,431</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(69)</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11.35</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4,319</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(109)</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10.09</w:t>
            </w:r>
          </w:p>
        </w:tc>
      </w:tr>
      <w:tr>
        <w:trPr>
          <w:trHeight w:val="309"/>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debt of Fannie Mae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114,098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(1,120)</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3.93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138,732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(1,228)</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3.54</w:t>
            </w:r>
          </w:p>
        </w:tc>
      </w:tr>
      <w:tr>
        <w:trPr>
          <w:trHeight w:val="278"/>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Debt securities of consolidated trusts held by</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8"/>
        </w:trPr>
        <w:tc>
          <w:tcPr>
            <w:tcW w:w="33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third parties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4,083,048</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(28,887)</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2.83</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4,078,979</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(26,077)</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2.56</w:t>
            </w:r>
          </w:p>
        </w:tc>
      </w:tr>
      <w:tr>
        <w:trPr>
          <w:trHeight w:val="302"/>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interest-bearing liabilities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4,197,146</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(30,007)</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2.86 %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4,217,711</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(27,305)</w:t>
            </w:r>
          </w:p>
        </w:tc>
        <w:tc>
          <w:tcPr>
            <w:tcW w:w="1360" w:type="dxa"/>
            <w:vAlign w:val="bottom"/>
          </w:tcPr>
          <w:p>
            <w:pPr>
              <w:jc w:val="right"/>
              <w:spacing w:after="0"/>
              <w:rPr>
                <w:sz w:val="20"/>
                <w:szCs w:val="20"/>
                <w:color w:val="auto"/>
              </w:rPr>
            </w:pPr>
            <w:r>
              <w:rPr>
                <w:rFonts w:ascii="Arial" w:cs="Arial" w:eastAsia="Arial" w:hAnsi="Arial"/>
                <w:sz w:val="15"/>
                <w:szCs w:val="15"/>
                <w:color w:val="auto"/>
              </w:rPr>
              <w:t>2.59 %</w:t>
            </w:r>
          </w:p>
        </w:tc>
      </w:tr>
      <w:tr>
        <w:trPr>
          <w:trHeight w:val="40"/>
        </w:trPr>
        <w:tc>
          <w:tcPr>
            <w:tcW w:w="330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2C6937"/>
              <w:bottom w:val="single" w:sz="8" w:color="2C6937"/>
            </w:tcBorders>
          </w:tcPr>
          <w:p>
            <w:pPr>
              <w:spacing w:after="0"/>
              <w:rPr>
                <w:sz w:val="3"/>
                <w:szCs w:val="3"/>
                <w:color w:val="auto"/>
              </w:rPr>
            </w:pPr>
          </w:p>
        </w:tc>
        <w:tc>
          <w:tcPr>
            <w:tcW w:w="94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2C6937"/>
              <w:bottom w:val="single" w:sz="8" w:color="2C6937"/>
            </w:tcBorders>
          </w:tcPr>
          <w:p>
            <w:pPr>
              <w:spacing w:after="0"/>
              <w:rPr>
                <w:sz w:val="3"/>
                <w:szCs w:val="3"/>
                <w:color w:val="auto"/>
              </w:rPr>
            </w:pPr>
          </w:p>
        </w:tc>
        <w:tc>
          <w:tcPr>
            <w:tcW w:w="96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60" w:type="dxa"/>
            <w:vAlign w:val="bottom"/>
          </w:tcPr>
          <w:p>
            <w:pPr>
              <w:spacing w:after="0"/>
              <w:rPr>
                <w:sz w:val="3"/>
                <w:szCs w:val="3"/>
                <w:color w:val="auto"/>
              </w:rPr>
            </w:pPr>
          </w:p>
        </w:tc>
      </w:tr>
      <w:tr>
        <w:trPr>
          <w:trHeight w:val="25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Net interest income/net interest yield</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7,268</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0.68 %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7,035</w:t>
            </w:r>
          </w:p>
        </w:tc>
        <w:tc>
          <w:tcPr>
            <w:tcW w:w="1360" w:type="dxa"/>
            <w:vAlign w:val="bottom"/>
          </w:tcPr>
          <w:p>
            <w:pPr>
              <w:jc w:val="right"/>
              <w:spacing w:after="0"/>
              <w:rPr>
                <w:sz w:val="20"/>
                <w:szCs w:val="20"/>
                <w:color w:val="auto"/>
              </w:rPr>
            </w:pPr>
            <w:r>
              <w:rPr>
                <w:rFonts w:ascii="Arial" w:cs="Arial" w:eastAsia="Arial" w:hAnsi="Arial"/>
                <w:sz w:val="15"/>
                <w:szCs w:val="15"/>
                <w:color w:val="auto"/>
              </w:rPr>
              <w:t>0.66 %</w:t>
            </w: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80" w:type="dxa"/>
            <w:vAlign w:val="bottom"/>
            <w:tcBorders>
              <w:bottom w:val="single" w:sz="8" w:color="9A9A9A"/>
            </w:tcBorders>
          </w:tcPr>
          <w:p>
            <w:pPr>
              <w:spacing w:after="0"/>
              <w:rPr>
                <w:sz w:val="17"/>
                <w:szCs w:val="17"/>
                <w:color w:val="auto"/>
              </w:rPr>
            </w:pPr>
          </w:p>
        </w:tc>
        <w:tc>
          <w:tcPr>
            <w:tcW w:w="4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 w:name="page13"/>
    <w:bookmarkEnd w:id="12"/>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spacing w:after="0"/>
              <w:rPr>
                <w:sz w:val="18"/>
                <w:szCs w:val="18"/>
                <w:color w:val="auto"/>
              </w:rPr>
            </w:pPr>
          </w:p>
        </w:tc>
        <w:tc>
          <w:tcPr>
            <w:tcW w:w="2720" w:type="dxa"/>
            <w:vAlign w:val="bottom"/>
            <w:tcBorders>
              <w:bottom w:val="single" w:sz="8" w:color="2C6937"/>
            </w:tcBorders>
            <w:gridSpan w:val="5"/>
          </w:tcPr>
          <w:p>
            <w:pPr>
              <w:jc w:val="center"/>
              <w:ind w:left="63"/>
              <w:spacing w:after="0"/>
              <w:rPr>
                <w:sz w:val="20"/>
                <w:szCs w:val="20"/>
                <w:color w:val="auto"/>
              </w:rPr>
            </w:pPr>
            <w:r>
              <w:rPr>
                <w:rFonts w:ascii="Arial" w:cs="Arial" w:eastAsia="Arial" w:hAnsi="Arial"/>
                <w:sz w:val="15"/>
                <w:szCs w:val="15"/>
                <w:b w:val="1"/>
                <w:bCs w:val="1"/>
                <w:color w:val="auto"/>
              </w:rPr>
              <w:t>For the Six Months Ended June 30,</w:t>
            </w: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spacing w:after="0"/>
              <w:rPr>
                <w:sz w:val="18"/>
                <w:szCs w:val="18"/>
                <w:color w:val="auto"/>
              </w:rPr>
            </w:pPr>
          </w:p>
        </w:tc>
        <w:tc>
          <w:tcPr>
            <w:tcW w:w="1360" w:type="dxa"/>
            <w:vAlign w:val="bottom"/>
            <w:tcBorders>
              <w:bottom w:val="single" w:sz="8" w:color="2C6937"/>
            </w:tcBorders>
          </w:tcPr>
          <w:p>
            <w:pPr>
              <w:spacing w:after="0"/>
              <w:rPr>
                <w:sz w:val="18"/>
                <w:szCs w:val="18"/>
                <w:color w:val="auto"/>
              </w:rPr>
            </w:pPr>
          </w:p>
        </w:tc>
      </w:tr>
      <w:tr>
        <w:trPr>
          <w:trHeight w:val="199"/>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2024</w:t>
            </w:r>
          </w:p>
        </w:tc>
        <w:tc>
          <w:tcPr>
            <w:tcW w:w="13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2023</w:t>
            </w:r>
          </w:p>
        </w:tc>
        <w:tc>
          <w:tcPr>
            <w:tcW w:w="1360" w:type="dxa"/>
            <w:vAlign w:val="bottom"/>
            <w:tcBorders>
              <w:bottom w:val="single" w:sz="8" w:color="2C6937"/>
            </w:tcBorders>
          </w:tcPr>
          <w:p>
            <w:pPr>
              <w:spacing w:after="0"/>
              <w:rPr>
                <w:sz w:val="17"/>
                <w:szCs w:val="17"/>
                <w:color w:val="auto"/>
              </w:rPr>
            </w:pPr>
          </w:p>
        </w:tc>
      </w:tr>
      <w:tr>
        <w:trPr>
          <w:trHeight w:val="185"/>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rPr>
              <w:t>Average Rates</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360" w:type="dxa"/>
            <w:vAlign w:val="bottom"/>
          </w:tcPr>
          <w:p>
            <w:pPr>
              <w:ind w:left="200"/>
              <w:spacing w:after="0"/>
              <w:rPr>
                <w:sz w:val="20"/>
                <w:szCs w:val="20"/>
                <w:color w:val="auto"/>
              </w:rPr>
            </w:pPr>
            <w:r>
              <w:rPr>
                <w:rFonts w:ascii="Arial" w:cs="Arial" w:eastAsia="Arial" w:hAnsi="Arial"/>
                <w:sz w:val="15"/>
                <w:szCs w:val="15"/>
                <w:b w:val="1"/>
                <w:bCs w:val="1"/>
                <w:color w:val="auto"/>
              </w:rPr>
              <w:t>Average Rates</w:t>
            </w:r>
          </w:p>
        </w:tc>
      </w:tr>
      <w:tr>
        <w:trPr>
          <w:trHeight w:val="226"/>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04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4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Earned/Paid</w:t>
            </w:r>
          </w:p>
        </w:tc>
        <w:tc>
          <w:tcPr>
            <w:tcW w:w="18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60" w:type="dxa"/>
            <w:vAlign w:val="bottom"/>
            <w:tcBorders>
              <w:bottom w:val="single" w:sz="8" w:color="2C6937"/>
            </w:tcBorders>
          </w:tcPr>
          <w:p>
            <w:pPr>
              <w:ind w:left="280"/>
              <w:spacing w:after="0"/>
              <w:rPr>
                <w:sz w:val="20"/>
                <w:szCs w:val="20"/>
                <w:color w:val="auto"/>
              </w:rPr>
            </w:pPr>
            <w:r>
              <w:rPr>
                <w:rFonts w:ascii="Arial" w:cs="Arial" w:eastAsia="Arial" w:hAnsi="Arial"/>
                <w:sz w:val="15"/>
                <w:szCs w:val="15"/>
                <w:b w:val="1"/>
                <w:bCs w:val="1"/>
                <w:color w:val="auto"/>
              </w:rPr>
              <w:t>Earned/Paid</w:t>
            </w:r>
          </w:p>
        </w:tc>
      </w:tr>
      <w:tr>
        <w:trPr>
          <w:trHeight w:val="226"/>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720" w:type="dxa"/>
            <w:vAlign w:val="bottom"/>
            <w:gridSpan w:val="5"/>
          </w:tcPr>
          <w:p>
            <w:pPr>
              <w:jc w:val="center"/>
              <w:ind w:left="43"/>
              <w:spacing w:after="0"/>
              <w:rPr>
                <w:sz w:val="20"/>
                <w:szCs w:val="20"/>
                <w:color w:val="auto"/>
              </w:rPr>
            </w:pPr>
            <w:r>
              <w:rPr>
                <w:rFonts w:ascii="Arial" w:cs="Arial" w:eastAsia="Arial" w:hAnsi="Arial"/>
                <w:sz w:val="15"/>
                <w:szCs w:val="15"/>
                <w:b w:val="1"/>
                <w:bCs w:val="1"/>
                <w:color w:val="auto"/>
              </w:rPr>
              <w:t>(Dollars in millions)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2"/>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Interest-earning assets: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Cash and cash equivalents</w:t>
            </w:r>
            <w:r>
              <w:rPr>
                <w:rFonts w:ascii="Arial" w:cs="Arial" w:eastAsia="Arial" w:hAnsi="Arial"/>
                <w:sz w:val="20"/>
                <w:szCs w:val="20"/>
                <w:color w:val="auto"/>
                <w:vertAlign w:val="superscript"/>
              </w:rPr>
              <w:t>(2)</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46,408</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1,254</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5.40 %</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62,780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1,504</w:t>
            </w:r>
          </w:p>
        </w:tc>
        <w:tc>
          <w:tcPr>
            <w:tcW w:w="1360" w:type="dxa"/>
            <w:vAlign w:val="bottom"/>
          </w:tcPr>
          <w:p>
            <w:pPr>
              <w:ind w:left="860"/>
              <w:spacing w:after="0"/>
              <w:rPr>
                <w:sz w:val="20"/>
                <w:szCs w:val="20"/>
                <w:color w:val="auto"/>
              </w:rPr>
            </w:pPr>
            <w:r>
              <w:rPr>
                <w:rFonts w:ascii="Arial" w:cs="Arial" w:eastAsia="Arial" w:hAnsi="Arial"/>
                <w:sz w:val="15"/>
                <w:szCs w:val="15"/>
                <w:color w:val="auto"/>
              </w:rPr>
              <w:t>4.79 %</w:t>
            </w:r>
          </w:p>
        </w:tc>
      </w:tr>
      <w:tr>
        <w:trPr>
          <w:trHeight w:val="180"/>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Securities purchased under agreements to</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8"/>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resell</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48,240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1,315</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5.45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38,951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942</w:t>
            </w:r>
          </w:p>
        </w:tc>
        <w:tc>
          <w:tcPr>
            <w:tcW w:w="1360" w:type="dxa"/>
            <w:vAlign w:val="bottom"/>
          </w:tcPr>
          <w:p>
            <w:pPr>
              <w:ind w:left="860"/>
              <w:spacing w:after="0"/>
              <w:rPr>
                <w:sz w:val="20"/>
                <w:szCs w:val="20"/>
                <w:color w:val="auto"/>
              </w:rPr>
            </w:pPr>
            <w:r>
              <w:rPr>
                <w:rFonts w:ascii="Arial" w:cs="Arial" w:eastAsia="Arial" w:hAnsi="Arial"/>
                <w:sz w:val="15"/>
                <w:szCs w:val="15"/>
                <w:color w:val="auto"/>
              </w:rPr>
              <w:t>4.81</w:t>
            </w:r>
          </w:p>
        </w:tc>
      </w:tr>
      <w:tr>
        <w:trPr>
          <w:trHeight w:val="239"/>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Investments in securities</w:t>
            </w:r>
            <w:r>
              <w:rPr>
                <w:rFonts w:ascii="Arial" w:cs="Arial" w:eastAsia="Arial" w:hAnsi="Arial"/>
                <w:sz w:val="20"/>
                <w:szCs w:val="20"/>
                <w:color w:val="auto"/>
                <w:vertAlign w:val="superscript"/>
              </w:rPr>
              <w:t>(3)</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52,930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582</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2.20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54,102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578</w:t>
            </w:r>
          </w:p>
        </w:tc>
        <w:tc>
          <w:tcPr>
            <w:tcW w:w="1360" w:type="dxa"/>
            <w:vAlign w:val="bottom"/>
          </w:tcPr>
          <w:p>
            <w:pPr>
              <w:ind w:left="860"/>
              <w:spacing w:after="0"/>
              <w:rPr>
                <w:sz w:val="20"/>
                <w:szCs w:val="20"/>
                <w:color w:val="auto"/>
              </w:rPr>
            </w:pPr>
            <w:r>
              <w:rPr>
                <w:rFonts w:ascii="Arial" w:cs="Arial" w:eastAsia="Arial" w:hAnsi="Arial"/>
                <w:sz w:val="15"/>
                <w:szCs w:val="15"/>
                <w:color w:val="auto"/>
              </w:rPr>
              <w:t>2.14</w:t>
            </w:r>
          </w:p>
        </w:tc>
      </w:tr>
      <w:tr>
        <w:trPr>
          <w:trHeight w:val="204"/>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Mortgage loans: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53"/>
        </w:trPr>
        <w:tc>
          <w:tcPr>
            <w:tcW w:w="3400" w:type="dxa"/>
            <w:vAlign w:val="bottom"/>
            <w:gridSpan w:val="2"/>
          </w:tcPr>
          <w:p>
            <w:pPr>
              <w:ind w:left="280"/>
              <w:spacing w:after="0"/>
              <w:rPr>
                <w:sz w:val="20"/>
                <w:szCs w:val="20"/>
                <w:color w:val="auto"/>
              </w:rPr>
            </w:pPr>
            <w:r>
              <w:rPr>
                <w:rFonts w:ascii="Arial" w:cs="Arial" w:eastAsia="Arial" w:hAnsi="Arial"/>
                <w:sz w:val="15"/>
                <w:szCs w:val="15"/>
                <w:color w:val="auto"/>
              </w:rPr>
              <w:t>Mortgage loans of Fannie Mae</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50,396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1,135</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52,251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1,218</w:t>
            </w:r>
          </w:p>
        </w:tc>
        <w:tc>
          <w:tcPr>
            <w:tcW w:w="1360" w:type="dxa"/>
            <w:vAlign w:val="bottom"/>
          </w:tcPr>
          <w:p>
            <w:pPr>
              <w:ind w:left="860"/>
              <w:spacing w:after="0"/>
              <w:rPr>
                <w:sz w:val="20"/>
                <w:szCs w:val="20"/>
                <w:color w:val="auto"/>
              </w:rPr>
            </w:pPr>
            <w:r>
              <w:rPr>
                <w:rFonts w:ascii="Arial" w:cs="Arial" w:eastAsia="Arial" w:hAnsi="Arial"/>
                <w:sz w:val="15"/>
                <w:szCs w:val="15"/>
                <w:color w:val="auto"/>
              </w:rPr>
              <w:t>4.66</w:t>
            </w:r>
          </w:p>
        </w:tc>
      </w:tr>
      <w:tr>
        <w:trPr>
          <w:trHeight w:val="226"/>
        </w:trPr>
        <w:tc>
          <w:tcPr>
            <w:tcW w:w="33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Mortgage loans of consolidated trusts</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4,089,520</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69,698</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3.41</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4,074,813</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63,574</w:t>
            </w:r>
          </w:p>
        </w:tc>
        <w:tc>
          <w:tcPr>
            <w:tcW w:w="1360" w:type="dxa"/>
            <w:vAlign w:val="bottom"/>
          </w:tcPr>
          <w:p>
            <w:pPr>
              <w:ind w:left="860"/>
              <w:spacing w:after="0"/>
              <w:rPr>
                <w:sz w:val="20"/>
                <w:szCs w:val="20"/>
                <w:color w:val="auto"/>
              </w:rPr>
            </w:pPr>
            <w:r>
              <w:rPr>
                <w:rFonts w:ascii="Arial" w:cs="Arial" w:eastAsia="Arial" w:hAnsi="Arial"/>
                <w:sz w:val="15"/>
                <w:szCs w:val="15"/>
                <w:color w:val="auto"/>
              </w:rPr>
              <w:t>3.12</w:t>
            </w:r>
          </w:p>
        </w:tc>
      </w:tr>
      <w:tr>
        <w:trPr>
          <w:trHeight w:val="239"/>
        </w:trPr>
        <w:tc>
          <w:tcPr>
            <w:tcW w:w="3400" w:type="dxa"/>
            <w:vAlign w:val="bottom"/>
            <w:gridSpan w:val="2"/>
          </w:tcPr>
          <w:p>
            <w:pPr>
              <w:ind w:left="44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4,139,916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70,833</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4,127,064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64,792</w:t>
            </w:r>
          </w:p>
        </w:tc>
        <w:tc>
          <w:tcPr>
            <w:tcW w:w="1360" w:type="dxa"/>
            <w:vAlign w:val="bottom"/>
          </w:tcPr>
          <w:p>
            <w:pPr>
              <w:ind w:left="860"/>
              <w:spacing w:after="0"/>
              <w:rPr>
                <w:sz w:val="20"/>
                <w:szCs w:val="20"/>
                <w:color w:val="auto"/>
              </w:rPr>
            </w:pPr>
            <w:r>
              <w:rPr>
                <w:rFonts w:ascii="Arial" w:cs="Arial" w:eastAsia="Arial" w:hAnsi="Arial"/>
                <w:sz w:val="15"/>
                <w:szCs w:val="15"/>
                <w:color w:val="auto"/>
              </w:rPr>
              <w:t>3.14</w:t>
            </w:r>
          </w:p>
        </w:tc>
      </w:tr>
      <w:tr>
        <w:trPr>
          <w:trHeight w:val="218"/>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Advances to lenders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2,658</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89</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6.70</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3,082</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94</w:t>
            </w:r>
          </w:p>
        </w:tc>
        <w:tc>
          <w:tcPr>
            <w:tcW w:w="1360" w:type="dxa"/>
            <w:vAlign w:val="bottom"/>
          </w:tcPr>
          <w:p>
            <w:pPr>
              <w:ind w:left="860"/>
              <w:spacing w:after="0"/>
              <w:rPr>
                <w:sz w:val="20"/>
                <w:szCs w:val="20"/>
                <w:color w:val="auto"/>
              </w:rPr>
            </w:pPr>
            <w:r>
              <w:rPr>
                <w:rFonts w:ascii="Arial" w:cs="Arial" w:eastAsia="Arial" w:hAnsi="Arial"/>
                <w:sz w:val="15"/>
                <w:szCs w:val="15"/>
                <w:color w:val="auto"/>
              </w:rPr>
              <w:t>6.07</w:t>
            </w:r>
          </w:p>
        </w:tc>
      </w:tr>
      <w:tr>
        <w:trPr>
          <w:trHeight w:val="22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interest-earning assets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4,290,152</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74,073</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3.45 %</w:t>
            </w:r>
          </w:p>
        </w:tc>
        <w:tc>
          <w:tcPr>
            <w:tcW w:w="10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4,285,979</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67,910</w:t>
            </w:r>
          </w:p>
        </w:tc>
        <w:tc>
          <w:tcPr>
            <w:tcW w:w="1360" w:type="dxa"/>
            <w:vAlign w:val="bottom"/>
          </w:tcPr>
          <w:p>
            <w:pPr>
              <w:ind w:left="860"/>
              <w:spacing w:after="0"/>
              <w:rPr>
                <w:sz w:val="20"/>
                <w:szCs w:val="20"/>
                <w:color w:val="auto"/>
              </w:rPr>
            </w:pPr>
            <w:r>
              <w:rPr>
                <w:rFonts w:ascii="Arial" w:cs="Arial" w:eastAsia="Arial" w:hAnsi="Arial"/>
                <w:sz w:val="15"/>
                <w:szCs w:val="15"/>
                <w:color w:val="auto"/>
              </w:rPr>
              <w:t>3.17 %</w:t>
            </w:r>
          </w:p>
        </w:tc>
      </w:tr>
      <w:tr>
        <w:trPr>
          <w:trHeight w:val="20"/>
        </w:trPr>
        <w:tc>
          <w:tcPr>
            <w:tcW w:w="3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5"/>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Short-term funding debt</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12,496</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(325)</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5.20 %</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12,733</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(302)</w:t>
            </w:r>
          </w:p>
        </w:tc>
        <w:tc>
          <w:tcPr>
            <w:tcW w:w="1360" w:type="dxa"/>
            <w:vAlign w:val="bottom"/>
          </w:tcPr>
          <w:p>
            <w:pPr>
              <w:ind w:left="860"/>
              <w:spacing w:after="0"/>
              <w:rPr>
                <w:sz w:val="20"/>
                <w:szCs w:val="20"/>
                <w:color w:val="auto"/>
              </w:rPr>
            </w:pPr>
            <w:r>
              <w:rPr>
                <w:rFonts w:ascii="Arial" w:cs="Arial" w:eastAsia="Arial" w:hAnsi="Arial"/>
                <w:sz w:val="15"/>
                <w:szCs w:val="15"/>
                <w:color w:val="auto"/>
              </w:rPr>
              <w:t>4.72 %</w:t>
            </w:r>
          </w:p>
        </w:tc>
      </w:tr>
      <w:tr>
        <w:trPr>
          <w:trHeight w:val="23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Long-term funding debt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102,213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(1,840)</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119,016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(1,744)</w:t>
            </w:r>
          </w:p>
        </w:tc>
        <w:tc>
          <w:tcPr>
            <w:tcW w:w="1360" w:type="dxa"/>
            <w:vAlign w:val="bottom"/>
          </w:tcPr>
          <w:p>
            <w:pPr>
              <w:ind w:left="860"/>
              <w:spacing w:after="0"/>
              <w:rPr>
                <w:sz w:val="20"/>
                <w:szCs w:val="20"/>
                <w:color w:val="auto"/>
              </w:rPr>
            </w:pPr>
            <w:r>
              <w:rPr>
                <w:rFonts w:ascii="Arial" w:cs="Arial" w:eastAsia="Arial" w:hAnsi="Arial"/>
                <w:sz w:val="15"/>
                <w:szCs w:val="15"/>
                <w:color w:val="auto"/>
              </w:rPr>
              <w:t>2.93</w:t>
            </w:r>
          </w:p>
        </w:tc>
      </w:tr>
      <w:tr>
        <w:trPr>
          <w:trHeight w:val="226"/>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CAS debt</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2,536</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(143)</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11.28</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4,727</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(232)</w:t>
            </w:r>
          </w:p>
        </w:tc>
        <w:tc>
          <w:tcPr>
            <w:tcW w:w="1360" w:type="dxa"/>
            <w:vAlign w:val="bottom"/>
          </w:tcPr>
          <w:p>
            <w:pPr>
              <w:ind w:left="860"/>
              <w:spacing w:after="0"/>
              <w:rPr>
                <w:sz w:val="20"/>
                <w:szCs w:val="20"/>
                <w:color w:val="auto"/>
              </w:rPr>
            </w:pPr>
            <w:r>
              <w:rPr>
                <w:rFonts w:ascii="Arial" w:cs="Arial" w:eastAsia="Arial" w:hAnsi="Arial"/>
                <w:sz w:val="15"/>
                <w:szCs w:val="15"/>
                <w:color w:val="auto"/>
              </w:rPr>
              <w:t>9.82</w:t>
            </w:r>
          </w:p>
        </w:tc>
      </w:tr>
      <w:tr>
        <w:trPr>
          <w:trHeight w:val="231"/>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debt of Fannie Mae</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117,245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(2,308)</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136,476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(2,278)</w:t>
            </w:r>
          </w:p>
        </w:tc>
        <w:tc>
          <w:tcPr>
            <w:tcW w:w="1360" w:type="dxa"/>
            <w:vAlign w:val="bottom"/>
          </w:tcPr>
          <w:p>
            <w:pPr>
              <w:ind w:left="860"/>
              <w:spacing w:after="0"/>
              <w:rPr>
                <w:sz w:val="20"/>
                <w:szCs w:val="20"/>
                <w:color w:val="auto"/>
              </w:rPr>
            </w:pPr>
            <w:r>
              <w:rPr>
                <w:rFonts w:ascii="Arial" w:cs="Arial" w:eastAsia="Arial" w:hAnsi="Arial"/>
                <w:sz w:val="15"/>
                <w:szCs w:val="15"/>
                <w:color w:val="auto"/>
              </w:rPr>
              <w:t>3.34</w:t>
            </w:r>
          </w:p>
        </w:tc>
      </w:tr>
      <w:tr>
        <w:trPr>
          <w:trHeight w:val="188"/>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Debt securities of consolidated trusts held by</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1"/>
        </w:trPr>
        <w:tc>
          <w:tcPr>
            <w:tcW w:w="33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third parties</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4,085,866</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(57,474)</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2.81</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4,078,066</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(51,811)</w:t>
            </w:r>
          </w:p>
        </w:tc>
        <w:tc>
          <w:tcPr>
            <w:tcW w:w="1360" w:type="dxa"/>
            <w:vAlign w:val="bottom"/>
          </w:tcPr>
          <w:p>
            <w:pPr>
              <w:ind w:left="860"/>
              <w:spacing w:after="0"/>
              <w:rPr>
                <w:sz w:val="20"/>
                <w:szCs w:val="20"/>
                <w:color w:val="auto"/>
              </w:rPr>
            </w:pPr>
            <w:r>
              <w:rPr>
                <w:rFonts w:ascii="Arial" w:cs="Arial" w:eastAsia="Arial" w:hAnsi="Arial"/>
                <w:sz w:val="15"/>
                <w:szCs w:val="15"/>
                <w:color w:val="auto"/>
              </w:rPr>
              <w:t>2.54</w:t>
            </w:r>
          </w:p>
        </w:tc>
      </w:tr>
      <w:tr>
        <w:trPr>
          <w:trHeight w:val="22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interest-bearing liabilities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4,203,111</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(59,782)</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2.84 %</w:t>
            </w:r>
          </w:p>
        </w:tc>
        <w:tc>
          <w:tcPr>
            <w:tcW w:w="10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4,214,542</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(54,089)</w:t>
            </w:r>
          </w:p>
        </w:tc>
        <w:tc>
          <w:tcPr>
            <w:tcW w:w="1360" w:type="dxa"/>
            <w:vAlign w:val="bottom"/>
          </w:tcPr>
          <w:p>
            <w:pPr>
              <w:ind w:left="860"/>
              <w:spacing w:after="0"/>
              <w:rPr>
                <w:sz w:val="20"/>
                <w:szCs w:val="20"/>
                <w:color w:val="auto"/>
              </w:rPr>
            </w:pPr>
            <w:r>
              <w:rPr>
                <w:rFonts w:ascii="Arial" w:cs="Arial" w:eastAsia="Arial" w:hAnsi="Arial"/>
                <w:sz w:val="15"/>
                <w:szCs w:val="15"/>
                <w:color w:val="auto"/>
              </w:rPr>
              <w:t>2.57 %</w:t>
            </w:r>
          </w:p>
        </w:tc>
      </w:tr>
      <w:tr>
        <w:trPr>
          <w:trHeight w:val="40"/>
        </w:trPr>
        <w:tc>
          <w:tcPr>
            <w:tcW w:w="330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2C6937"/>
              <w:bottom w:val="single" w:sz="8" w:color="2C6937"/>
            </w:tcBorders>
          </w:tcPr>
          <w:p>
            <w:pPr>
              <w:spacing w:after="0"/>
              <w:rPr>
                <w:sz w:val="3"/>
                <w:szCs w:val="3"/>
                <w:color w:val="auto"/>
              </w:rPr>
            </w:pPr>
          </w:p>
        </w:tc>
        <w:tc>
          <w:tcPr>
            <w:tcW w:w="94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2C6937"/>
              <w:bottom w:val="single" w:sz="8" w:color="2C6937"/>
            </w:tcBorders>
          </w:tcPr>
          <w:p>
            <w:pPr>
              <w:spacing w:after="0"/>
              <w:rPr>
                <w:sz w:val="3"/>
                <w:szCs w:val="3"/>
                <w:color w:val="auto"/>
              </w:rPr>
            </w:pPr>
          </w:p>
        </w:tc>
        <w:tc>
          <w:tcPr>
            <w:tcW w:w="96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60" w:type="dxa"/>
            <w:vAlign w:val="bottom"/>
          </w:tcPr>
          <w:p>
            <w:pPr>
              <w:spacing w:after="0"/>
              <w:rPr>
                <w:sz w:val="3"/>
                <w:szCs w:val="3"/>
                <w:color w:val="auto"/>
              </w:rPr>
            </w:pPr>
          </w:p>
        </w:tc>
      </w:tr>
      <w:tr>
        <w:trPr>
          <w:trHeight w:val="178"/>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Net interest income/net interest yield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14,291</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0.67 %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13,821</w:t>
            </w:r>
          </w:p>
        </w:tc>
        <w:tc>
          <w:tcPr>
            <w:tcW w:w="1360" w:type="dxa"/>
            <w:vAlign w:val="bottom"/>
          </w:tcPr>
          <w:p>
            <w:pPr>
              <w:ind w:left="860"/>
              <w:spacing w:after="0"/>
              <w:rPr>
                <w:sz w:val="20"/>
                <w:szCs w:val="20"/>
                <w:color w:val="auto"/>
              </w:rPr>
            </w:pPr>
            <w:r>
              <w:rPr>
                <w:rFonts w:ascii="Arial" w:cs="Arial" w:eastAsia="Arial" w:hAnsi="Arial"/>
                <w:sz w:val="15"/>
                <w:szCs w:val="15"/>
                <w:color w:val="auto"/>
              </w:rPr>
              <w:t>0.64 %</w:t>
            </w: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Includes the effects of discounts, premiums and other cost basis adjustments, including basis adjustments related to hedge accounting.</w:t>
      </w:r>
    </w:p>
    <w:p>
      <w:pPr>
        <w:spacing w:after="0" w:line="37" w:lineRule="exact"/>
        <w:rPr>
          <w:rFonts w:ascii="Arial" w:cs="Arial" w:eastAsia="Arial" w:hAnsi="Arial"/>
          <w:sz w:val="18"/>
          <w:szCs w:val="18"/>
          <w:color w:val="auto"/>
          <w:vertAlign w:val="superscript"/>
        </w:rPr>
      </w:pPr>
    </w:p>
    <w:p>
      <w:pPr>
        <w:ind w:left="240" w:right="20" w:hanging="237"/>
        <w:spacing w:after="0" w:line="222" w:lineRule="auto"/>
        <w:tabs>
          <w:tab w:leader="none" w:pos="27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Prior to March 31, 2024, “Cash and cash equivalents” were previously reported within “Investments in securities.” Prior periods have been updated to conform to the current period presentation. Cash equivalents are composed of overnight reverse repurchase agreements and U.S. Treasuries, if any, that have a maturity at the date of acquisition of three months or less.</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Consists of U.S. Treasuries not classified as cash equivalents and mortgage-related securities.</w:t>
      </w:r>
    </w:p>
    <w:p>
      <w:pPr>
        <w:spacing w:after="0" w:line="37" w:lineRule="exact"/>
        <w:rPr>
          <w:rFonts w:ascii="Arial" w:cs="Arial" w:eastAsia="Arial" w:hAnsi="Arial"/>
          <w:sz w:val="18"/>
          <w:szCs w:val="18"/>
          <w:color w:val="auto"/>
          <w:vertAlign w:val="superscript"/>
        </w:rPr>
      </w:pPr>
    </w:p>
    <w:p>
      <w:pPr>
        <w:ind w:left="240" w:right="160" w:hanging="237"/>
        <w:spacing w:after="0" w:line="238" w:lineRule="auto"/>
        <w:tabs>
          <w:tab w:leader="none" w:pos="216"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Average balance includes mortgage loans on nonaccrual status. Interest income includes loan fees of $699 million and $1.4 billion, respectively, for the second quarter of 2024 and first half of 2024, compared with $746 million and $1.4 billion, respectively, for the second quarter of 2023 and first half of 2023. Loan fees primarily consist of yield maintenance revenue we recognized on the prepayment of multifamily mortgage loans and the amortization of upfront cash fees exchanged when we acquire the mortgage loan.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10</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3" w:name="page14"/>
    <w:bookmarkEnd w:id="13"/>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Fair Value Gains (Losses), Net</w:t>
      </w:r>
    </w:p>
    <w:p>
      <w:pPr>
        <w:spacing w:after="0" w:line="63"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The estimated fair value of our derivatives, trading securities and other financial instruments carried at fair value may fluctuate substantially from period to period because of changes in interest rates, the yield curve, mortgage and credit spreads and implied volatility, as well as activity related to these financial instruments.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components of our fair value gains and losses.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Fair Value Gains (Losses),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Borders>
              <w:top w:val="single" w:sz="8" w:color="2C6937"/>
            </w:tcBorders>
          </w:tcPr>
          <w:p>
            <w:pPr>
              <w:spacing w:after="0"/>
              <w:rPr>
                <w:sz w:val="14"/>
                <w:szCs w:val="14"/>
                <w:color w:val="auto"/>
              </w:rPr>
            </w:pPr>
          </w:p>
        </w:tc>
        <w:tc>
          <w:tcPr>
            <w:tcW w:w="140" w:type="dxa"/>
            <w:vAlign w:val="bottom"/>
            <w:tcBorders>
              <w:top w:val="single" w:sz="8" w:color="2C6937"/>
            </w:tcBorders>
          </w:tcPr>
          <w:p>
            <w:pPr>
              <w:spacing w:after="0"/>
              <w:rPr>
                <w:sz w:val="14"/>
                <w:szCs w:val="14"/>
                <w:color w:val="auto"/>
              </w:rPr>
            </w:pPr>
          </w:p>
        </w:tc>
        <w:tc>
          <w:tcPr>
            <w:tcW w:w="2140" w:type="dxa"/>
            <w:vAlign w:val="bottom"/>
            <w:tcBorders>
              <w:top w:val="single" w:sz="8" w:color="2C6937"/>
            </w:tcBorders>
            <w:gridSpan w:val="6"/>
          </w:tcPr>
          <w:p>
            <w:pPr>
              <w:ind w:left="6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Borders>
              <w:top w:val="single" w:sz="8" w:color="2C6937"/>
            </w:tcBorders>
          </w:tcPr>
          <w:p>
            <w:pPr>
              <w:spacing w:after="0"/>
              <w:rPr>
                <w:sz w:val="14"/>
                <w:szCs w:val="14"/>
                <w:color w:val="auto"/>
              </w:rPr>
            </w:pPr>
          </w:p>
        </w:tc>
        <w:tc>
          <w:tcPr>
            <w:tcW w:w="1880" w:type="dxa"/>
            <w:vAlign w:val="bottom"/>
            <w:tcBorders>
              <w:top w:val="single" w:sz="8" w:color="2C6937"/>
            </w:tcBorders>
            <w:gridSpan w:val="4"/>
          </w:tcPr>
          <w:p>
            <w:pPr>
              <w:jc w:val="right"/>
              <w:ind w:right="83"/>
              <w:spacing w:after="0"/>
              <w:rPr>
                <w:sz w:val="20"/>
                <w:szCs w:val="20"/>
                <w:color w:val="auto"/>
              </w:rPr>
            </w:pPr>
            <w:r>
              <w:rPr>
                <w:rFonts w:ascii="Arial" w:cs="Arial" w:eastAsia="Arial" w:hAnsi="Arial"/>
                <w:sz w:val="14"/>
                <w:szCs w:val="14"/>
                <w:b w:val="1"/>
                <w:bCs w:val="1"/>
                <w:color w:val="auto"/>
                <w:w w:val="98"/>
              </w:rPr>
              <w:t>For the Six Months Ended</w:t>
            </w:r>
          </w:p>
        </w:tc>
      </w:tr>
      <w:tr>
        <w:trPr>
          <w:trHeight w:val="177"/>
        </w:trPr>
        <w:tc>
          <w:tcPr>
            <w:tcW w:w="6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12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2C6937"/>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2C6937"/>
            </w:tcBorders>
          </w:tcPr>
          <w:p>
            <w:pPr>
              <w:spacing w:after="0"/>
              <w:rPr>
                <w:sz w:val="15"/>
                <w:szCs w:val="15"/>
                <w:color w:val="auto"/>
              </w:rPr>
            </w:pPr>
          </w:p>
        </w:tc>
      </w:tr>
      <w:tr>
        <w:trPr>
          <w:trHeight w:val="185"/>
        </w:trPr>
        <w:tc>
          <w:tcPr>
            <w:tcW w:w="6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ind w:right="243"/>
              <w:spacing w:after="0"/>
              <w:rPr>
                <w:sz w:val="20"/>
                <w:szCs w:val="20"/>
                <w:color w:val="auto"/>
              </w:rPr>
            </w:pPr>
            <w:r>
              <w:rPr>
                <w:rFonts w:ascii="Arial" w:cs="Arial" w:eastAsia="Arial" w:hAnsi="Arial"/>
                <w:sz w:val="14"/>
                <w:szCs w:val="14"/>
                <w:b w:val="1"/>
                <w:bCs w:val="1"/>
                <w:color w:val="auto"/>
              </w:rPr>
              <w:t>2023</w:t>
            </w:r>
          </w:p>
        </w:tc>
      </w:tr>
      <w:tr>
        <w:trPr>
          <w:trHeight w:val="185"/>
        </w:trPr>
        <w:tc>
          <w:tcPr>
            <w:tcW w:w="6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5"/>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6"/>
        </w:trPr>
        <w:tc>
          <w:tcPr>
            <w:tcW w:w="7080" w:type="dxa"/>
            <w:vAlign w:val="bottom"/>
            <w:gridSpan w:val="2"/>
          </w:tcPr>
          <w:p>
            <w:pPr>
              <w:ind w:left="20"/>
              <w:spacing w:after="0"/>
              <w:rPr>
                <w:sz w:val="20"/>
                <w:szCs w:val="20"/>
                <w:color w:val="auto"/>
              </w:rPr>
            </w:pPr>
            <w:r>
              <w:rPr>
                <w:rFonts w:ascii="Arial" w:cs="Arial" w:eastAsia="Arial" w:hAnsi="Arial"/>
                <w:sz w:val="15"/>
                <w:szCs w:val="15"/>
                <w:color w:val="auto"/>
              </w:rPr>
              <w:t>Risk management derivatives fair value gains (losses) attributable to:</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2"/>
        </w:trPr>
        <w:tc>
          <w:tcPr>
            <w:tcW w:w="7080" w:type="dxa"/>
            <w:vAlign w:val="bottom"/>
            <w:gridSpan w:val="2"/>
          </w:tcPr>
          <w:p>
            <w:pPr>
              <w:ind w:left="180"/>
              <w:spacing w:after="0"/>
              <w:rPr>
                <w:sz w:val="20"/>
                <w:szCs w:val="20"/>
                <w:color w:val="auto"/>
              </w:rPr>
            </w:pPr>
            <w:r>
              <w:rPr>
                <w:rFonts w:ascii="Arial" w:cs="Arial" w:eastAsia="Arial" w:hAnsi="Arial"/>
                <w:sz w:val="15"/>
                <w:szCs w:val="15"/>
                <w:color w:val="auto"/>
              </w:rPr>
              <w:t>Net contractual interest income (expense) on interest-rate swaps</w:t>
            </w:r>
            <w:r>
              <w:rPr>
                <w:rFonts w:ascii="Arial" w:cs="Arial" w:eastAsia="Arial" w:hAnsi="Arial"/>
                <w:sz w:val="20"/>
                <w:szCs w:val="20"/>
                <w:color w:val="auto"/>
                <w:vertAlign w:val="superscript"/>
              </w:rPr>
              <w:t>(1)</w:t>
            </w: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(288)</w:t>
            </w:r>
          </w:p>
        </w:tc>
        <w:tc>
          <w:tcPr>
            <w:tcW w:w="160" w:type="dxa"/>
            <w:vAlign w:val="bottom"/>
          </w:tcPr>
          <w:p>
            <w:pPr>
              <w:spacing w:after="0"/>
              <w:rPr>
                <w:sz w:val="20"/>
                <w:szCs w:val="20"/>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(394)</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(588)</w:t>
            </w:r>
          </w:p>
        </w:tc>
        <w:tc>
          <w:tcPr>
            <w:tcW w:w="160" w:type="dxa"/>
            <w:vAlign w:val="bottom"/>
          </w:tcPr>
          <w:p>
            <w:pPr>
              <w:spacing w:after="0"/>
              <w:rPr>
                <w:sz w:val="20"/>
                <w:szCs w:val="20"/>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(775)</w:t>
            </w:r>
          </w:p>
        </w:tc>
      </w:tr>
      <w:tr>
        <w:trPr>
          <w:trHeight w:val="206"/>
        </w:trPr>
        <w:tc>
          <w:tcPr>
            <w:tcW w:w="7080" w:type="dxa"/>
            <w:vAlign w:val="bottom"/>
            <w:gridSpan w:val="2"/>
          </w:tcPr>
          <w:p>
            <w:pPr>
              <w:ind w:left="180"/>
              <w:spacing w:after="0"/>
              <w:rPr>
                <w:sz w:val="20"/>
                <w:szCs w:val="20"/>
                <w:color w:val="auto"/>
              </w:rPr>
            </w:pPr>
            <w:r>
              <w:rPr>
                <w:rFonts w:ascii="Arial" w:cs="Arial" w:eastAsia="Arial" w:hAnsi="Arial"/>
                <w:sz w:val="15"/>
                <w:szCs w:val="15"/>
                <w:color w:val="auto"/>
              </w:rPr>
              <w:t>Net change in fair value during the period</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396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505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1,029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692</w:t>
            </w:r>
          </w:p>
        </w:tc>
      </w:tr>
      <w:tr>
        <w:trPr>
          <w:trHeight w:val="208"/>
        </w:trPr>
        <w:tc>
          <w:tcPr>
            <w:tcW w:w="6940" w:type="dxa"/>
            <w:vAlign w:val="bottom"/>
            <w:tcBorders>
              <w:bottom w:val="single" w:sz="8" w:color="2C6937"/>
            </w:tcBorders>
          </w:tcPr>
          <w:p>
            <w:pPr>
              <w:ind w:left="180"/>
              <w:spacing w:after="0" w:line="207" w:lineRule="exact"/>
              <w:rPr>
                <w:sz w:val="20"/>
                <w:szCs w:val="20"/>
                <w:color w:val="auto"/>
              </w:rPr>
            </w:pPr>
            <w:r>
              <w:rPr>
                <w:rFonts w:ascii="Arial" w:cs="Arial" w:eastAsia="Arial" w:hAnsi="Arial"/>
                <w:sz w:val="15"/>
                <w:szCs w:val="15"/>
                <w:color w:val="auto"/>
              </w:rPr>
              <w:t>Impact of hedge accounting</w:t>
            </w:r>
            <w:r>
              <w:rPr>
                <w:rFonts w:ascii="Arial" w:cs="Arial" w:eastAsia="Arial" w:hAnsi="Arial"/>
                <w:sz w:val="20"/>
                <w:szCs w:val="20"/>
                <w:color w:val="auto"/>
                <w:vertAlign w:val="superscript"/>
              </w:rPr>
              <w:t>(2)</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109</w:t>
            </w:r>
          </w:p>
        </w:tc>
        <w:tc>
          <w:tcPr>
            <w:tcW w:w="16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637</w:t>
            </w: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256</w:t>
            </w:r>
          </w:p>
        </w:tc>
        <w:tc>
          <w:tcPr>
            <w:tcW w:w="16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622</w:t>
            </w:r>
          </w:p>
        </w:tc>
      </w:tr>
      <w:tr>
        <w:trPr>
          <w:trHeight w:val="224"/>
        </w:trPr>
        <w:tc>
          <w:tcPr>
            <w:tcW w:w="7080" w:type="dxa"/>
            <w:vAlign w:val="bottom"/>
            <w:gridSpan w:val="2"/>
          </w:tcPr>
          <w:p>
            <w:pPr>
              <w:ind w:left="320"/>
              <w:spacing w:after="0"/>
              <w:rPr>
                <w:sz w:val="20"/>
                <w:szCs w:val="20"/>
                <w:color w:val="auto"/>
              </w:rPr>
            </w:pPr>
            <w:r>
              <w:rPr>
                <w:rFonts w:ascii="Arial" w:cs="Arial" w:eastAsia="Arial" w:hAnsi="Arial"/>
                <w:sz w:val="15"/>
                <w:szCs w:val="15"/>
                <w:color w:val="auto"/>
              </w:rPr>
              <w:t>Risk management derivatives fair value gains (losses), net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217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748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697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539</w:t>
            </w:r>
          </w:p>
        </w:tc>
      </w:tr>
      <w:tr>
        <w:trPr>
          <w:trHeight w:val="206"/>
        </w:trPr>
        <w:tc>
          <w:tcPr>
            <w:tcW w:w="7080" w:type="dxa"/>
            <w:vAlign w:val="bottom"/>
            <w:gridSpan w:val="2"/>
          </w:tcPr>
          <w:p>
            <w:pPr>
              <w:ind w:left="20"/>
              <w:spacing w:after="0"/>
              <w:rPr>
                <w:sz w:val="20"/>
                <w:szCs w:val="20"/>
                <w:color w:val="auto"/>
              </w:rPr>
            </w:pPr>
            <w:r>
              <w:rPr>
                <w:rFonts w:ascii="Arial" w:cs="Arial" w:eastAsia="Arial" w:hAnsi="Arial"/>
                <w:sz w:val="15"/>
                <w:szCs w:val="15"/>
                <w:color w:val="auto"/>
              </w:rPr>
              <w:t>Mortgage commitment derivatives fair value gains (losses),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94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301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208"/>
        </w:trPr>
        <w:tc>
          <w:tcPr>
            <w:tcW w:w="69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Credit enhancement derivatives fair value gains (losses), net</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w:t>
            </w:r>
          </w:p>
        </w:tc>
        <w:tc>
          <w:tcPr>
            <w:tcW w:w="16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w:t>
            </w: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w:t>
            </w:r>
          </w:p>
        </w:tc>
        <w:tc>
          <w:tcPr>
            <w:tcW w:w="16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w:t>
            </w:r>
          </w:p>
        </w:tc>
      </w:tr>
      <w:tr>
        <w:trPr>
          <w:trHeight w:val="198"/>
        </w:trPr>
        <w:tc>
          <w:tcPr>
            <w:tcW w:w="7080" w:type="dxa"/>
            <w:vAlign w:val="bottom"/>
            <w:gridSpan w:val="2"/>
          </w:tcPr>
          <w:p>
            <w:pPr>
              <w:ind w:left="180"/>
              <w:spacing w:after="0"/>
              <w:rPr>
                <w:sz w:val="20"/>
                <w:szCs w:val="20"/>
                <w:color w:val="auto"/>
              </w:rPr>
            </w:pPr>
            <w:r>
              <w:rPr>
                <w:rFonts w:ascii="Arial" w:cs="Arial" w:eastAsia="Arial" w:hAnsi="Arial"/>
                <w:sz w:val="15"/>
                <w:szCs w:val="15"/>
                <w:color w:val="auto"/>
              </w:rPr>
              <w:t>Total derivatives fair value gains (losses),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312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975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984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637</w:t>
            </w:r>
          </w:p>
        </w:tc>
      </w:tr>
      <w:tr>
        <w:trPr>
          <w:trHeight w:val="206"/>
        </w:trPr>
        <w:tc>
          <w:tcPr>
            <w:tcW w:w="7080" w:type="dxa"/>
            <w:vAlign w:val="bottom"/>
            <w:gridSpan w:val="2"/>
          </w:tcPr>
          <w:p>
            <w:pPr>
              <w:ind w:left="20"/>
              <w:spacing w:after="0"/>
              <w:rPr>
                <w:sz w:val="20"/>
                <w:szCs w:val="20"/>
                <w:color w:val="auto"/>
              </w:rPr>
            </w:pPr>
            <w:r>
              <w:rPr>
                <w:rFonts w:ascii="Arial" w:cs="Arial" w:eastAsia="Arial" w:hAnsi="Arial"/>
                <w:sz w:val="15"/>
                <w:szCs w:val="15"/>
                <w:color w:val="auto"/>
              </w:rPr>
              <w:t>Trading securities gains (losses),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121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(140)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206"/>
        </w:trPr>
        <w:tc>
          <w:tcPr>
            <w:tcW w:w="7080" w:type="dxa"/>
            <w:vAlign w:val="bottom"/>
            <w:gridSpan w:val="2"/>
          </w:tcPr>
          <w:p>
            <w:pPr>
              <w:ind w:left="20"/>
              <w:spacing w:after="0"/>
              <w:rPr>
                <w:sz w:val="20"/>
                <w:szCs w:val="20"/>
                <w:color w:val="auto"/>
              </w:rPr>
            </w:pPr>
            <w:r>
              <w:rPr>
                <w:rFonts w:ascii="Arial" w:cs="Arial" w:eastAsia="Arial" w:hAnsi="Arial"/>
                <w:sz w:val="15"/>
                <w:szCs w:val="15"/>
                <w:color w:val="auto"/>
              </w:rPr>
              <w:t>Long-term debt fair value gains (losses),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128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08"/>
        </w:trPr>
        <w:tc>
          <w:tcPr>
            <w:tcW w:w="694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Other, net</w:t>
            </w:r>
            <w:r>
              <w:rPr>
                <w:rFonts w:ascii="Arial" w:cs="Arial" w:eastAsia="Arial" w:hAnsi="Arial"/>
                <w:sz w:val="20"/>
                <w:szCs w:val="20"/>
                <w:color w:val="auto"/>
                <w:vertAlign w:val="superscript"/>
              </w:rPr>
              <w:t>(3)</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w:t>
            </w:r>
          </w:p>
        </w:tc>
        <w:tc>
          <w:tcPr>
            <w:tcW w:w="16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(67)</w:t>
            </w: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(45)</w:t>
            </w:r>
          </w:p>
        </w:tc>
        <w:tc>
          <w:tcPr>
            <w:tcW w:w="16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r>
      <w:tr>
        <w:trPr>
          <w:trHeight w:val="199"/>
        </w:trPr>
        <w:tc>
          <w:tcPr>
            <w:tcW w:w="7080" w:type="dxa"/>
            <w:vAlign w:val="bottom"/>
            <w:gridSpan w:val="2"/>
          </w:tcPr>
          <w:p>
            <w:pPr>
              <w:ind w:left="180"/>
              <w:spacing w:after="0"/>
              <w:rPr>
                <w:sz w:val="20"/>
                <w:szCs w:val="20"/>
                <w:color w:val="auto"/>
              </w:rPr>
            </w:pPr>
            <w:r>
              <w:rPr>
                <w:rFonts w:ascii="Arial" w:cs="Arial" w:eastAsia="Arial" w:hAnsi="Arial"/>
                <w:sz w:val="15"/>
                <w:szCs w:val="15"/>
                <w:color w:val="auto"/>
              </w:rPr>
              <w:t>Fair value gains (losses), net</w:t>
            </w: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447</w:t>
            </w:r>
          </w:p>
        </w:tc>
        <w:tc>
          <w:tcPr>
            <w:tcW w:w="16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404</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927</w:t>
            </w:r>
          </w:p>
        </w:tc>
        <w:tc>
          <w:tcPr>
            <w:tcW w:w="16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608</w:t>
            </w:r>
          </w:p>
        </w:tc>
      </w:tr>
      <w:tr>
        <w:trPr>
          <w:trHeight w:val="20"/>
        </w:trPr>
        <w:tc>
          <w:tcPr>
            <w:tcW w:w="69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420" w:hanging="237"/>
        <w:spacing w:after="0" w:line="226" w:lineRule="auto"/>
        <w:tabs>
          <w:tab w:leader="none" w:pos="233"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“Net contractual interest income (expense) on interest-rate swaps” is primarily impacted by changes in interest rates and changes in the composition of our interest-rate swaps portfolio.</w:t>
      </w:r>
    </w:p>
    <w:p>
      <w:pPr>
        <w:spacing w:after="0" w:line="27" w:lineRule="exact"/>
        <w:rPr>
          <w:rFonts w:ascii="Arial" w:cs="Arial" w:eastAsia="Arial" w:hAnsi="Arial"/>
          <w:sz w:val="18"/>
          <w:szCs w:val="18"/>
          <w:color w:val="auto"/>
          <w:vertAlign w:val="superscript"/>
        </w:rPr>
      </w:pPr>
    </w:p>
    <w:p>
      <w:pPr>
        <w:ind w:left="240" w:right="180" w:hanging="237"/>
        <w:spacing w:after="0" w:line="218" w:lineRule="auto"/>
        <w:tabs>
          <w:tab w:leader="none" w:pos="233"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“Impact of hedge accounting” reflected in this table shows the net gain or loss from swaps in hedging relationships plus any accrued interest during the applicable periods that are recognized in “Net interest income.”</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5"/>
        </w:numPr>
        <w:rPr>
          <w:rFonts w:ascii="Arial" w:cs="Arial" w:eastAsia="Arial" w:hAnsi="Arial"/>
          <w:sz w:val="9"/>
          <w:szCs w:val="9"/>
          <w:color w:val="auto"/>
        </w:rPr>
      </w:pPr>
      <w:r>
        <w:rPr>
          <w:rFonts w:ascii="Arial" w:cs="Arial" w:eastAsia="Arial" w:hAnsi="Arial"/>
          <w:sz w:val="14"/>
          <w:szCs w:val="14"/>
          <w:color w:val="auto"/>
        </w:rPr>
        <w:t>Consists primarily of fair value gains and losses on mortgage loans held at fair value.</w:t>
      </w:r>
    </w:p>
    <w:p>
      <w:pPr>
        <w:spacing w:after="0" w:line="70"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Fair value gains, net in the second quarter and first half of 2024 were primarily driven by rising interest rates, which drove gains on risk management derivatives and mortgage commitment derivatives. Also contributing to fair value gains, net in the second quarter of 2024 were fair value gains on trading securities, which were primarily driven by our holdings of U.S. Treasury securities moving closer to maturity, which resulted in the reversal of previously recognized fair value losses.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Fair value gains, net in the second quarter of 2023 were primarily driven by gains on:</w:t>
      </w:r>
    </w:p>
    <w:p>
      <w:pPr>
        <w:spacing w:after="0" w:line="87" w:lineRule="exact"/>
        <w:rPr>
          <w:sz w:val="20"/>
          <w:szCs w:val="20"/>
          <w:color w:val="auto"/>
        </w:rPr>
      </w:pPr>
    </w:p>
    <w:p>
      <w:pPr>
        <w:ind w:left="620" w:hanging="307"/>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 management derivatives due to rising interest rates; and</w:t>
      </w:r>
    </w:p>
    <w:p>
      <w:pPr>
        <w:spacing w:after="0" w:line="86" w:lineRule="exact"/>
        <w:rPr>
          <w:rFonts w:ascii="Arial" w:cs="Arial" w:eastAsia="Arial" w:hAnsi="Arial"/>
          <w:sz w:val="16"/>
          <w:szCs w:val="16"/>
          <w:color w:val="auto"/>
        </w:rPr>
      </w:pPr>
    </w:p>
    <w:p>
      <w:pPr>
        <w:ind w:left="620" w:right="540" w:hanging="307"/>
        <w:spacing w:after="0" w:line="293" w:lineRule="auto"/>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long-term debt of consolidated trusts held at fair value due to rising interest rates and widening of the secondary spread, which is the spread between the 30-year MBS current coupon yield and 10-year U.S. Treasury rate.</w:t>
      </w:r>
    </w:p>
    <w:p>
      <w:pPr>
        <w:spacing w:after="0" w:line="2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These gains were partially offset by losses on trading securities, primarily driven by rising interest rates, which resulted in losses on fixed-rate securities as prices fell.</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Fair value gains, net in the first half of 2023 were primarily driven by rising interest rates, which drove gains on risk management derivatives.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4" w:name="page15"/>
    <w:bookmarkEnd w:id="14"/>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Benefit (Provision) for Credit Losses</w:t>
      </w:r>
    </w:p>
    <w:p>
      <w:pPr>
        <w:spacing w:after="0" w:line="6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table below provides a quantitative analysis of the drivers of our single-family and multifamily benefit or provision for credit losses and the change in expected credit enhancement recoveries. Many of the drivers that contribute to our benefit or provision for credit losses overlap or are interdependent. The components shown below are based on internal allocation estimates. The benefit or provision for credit losses includes our benefit or provision for loan losses, accrued interest receivable losses, our guaranty loss reserves, and credit losses on our available-for-sale (“AFS”) debt securities. For purposes of this attribution table, credit losses on AFS securities are excluded</w:t>
      </w:r>
      <w:r>
        <w:rPr>
          <w:rFonts w:ascii="Arial" w:cs="Arial" w:eastAsia="Arial" w:hAnsi="Arial"/>
          <w:sz w:val="13"/>
          <w:szCs w:val="13"/>
          <w:color w:val="auto"/>
        </w:rPr>
        <w:t>.</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Components of Benefit (Provision) for Credit Losses and Change in Expected Credit Enhancement Recoveries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8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320" w:type="dxa"/>
            <w:vAlign w:val="bottom"/>
            <w:tcBorders>
              <w:top w:val="single" w:sz="8" w:color="2C6937"/>
            </w:tcBorders>
            <w:gridSpan w:val="6"/>
          </w:tcPr>
          <w:p>
            <w:pPr>
              <w:ind w:left="60"/>
              <w:spacing w:after="0"/>
              <w:rPr>
                <w:sz w:val="20"/>
                <w:szCs w:val="20"/>
                <w:color w:val="auto"/>
              </w:rPr>
            </w:pPr>
            <w:r>
              <w:rPr>
                <w:rFonts w:ascii="Arial" w:cs="Arial" w:eastAsia="Arial" w:hAnsi="Arial"/>
                <w:sz w:val="15"/>
                <w:szCs w:val="15"/>
                <w:b w:val="1"/>
                <w:bCs w:val="1"/>
                <w:color w:val="auto"/>
              </w:rPr>
              <w:t>For the Three Months Ended</w:t>
            </w:r>
          </w:p>
        </w:tc>
        <w:tc>
          <w:tcPr>
            <w:tcW w:w="140" w:type="dxa"/>
            <w:vAlign w:val="bottom"/>
            <w:tcBorders>
              <w:top w:val="single" w:sz="8" w:color="2C6937"/>
            </w:tcBorders>
          </w:tcPr>
          <w:p>
            <w:pPr>
              <w:spacing w:after="0"/>
              <w:rPr>
                <w:sz w:val="17"/>
                <w:szCs w:val="17"/>
                <w:color w:val="auto"/>
              </w:rPr>
            </w:pPr>
          </w:p>
        </w:tc>
        <w:tc>
          <w:tcPr>
            <w:tcW w:w="2100" w:type="dxa"/>
            <w:vAlign w:val="bottom"/>
            <w:tcBorders>
              <w:top w:val="single" w:sz="8" w:color="2C6937"/>
            </w:tcBorders>
            <w:gridSpan w:val="4"/>
          </w:tcPr>
          <w:p>
            <w:pPr>
              <w:jc w:val="right"/>
              <w:ind w:right="83"/>
              <w:spacing w:after="0"/>
              <w:rPr>
                <w:sz w:val="20"/>
                <w:szCs w:val="20"/>
                <w:color w:val="auto"/>
              </w:rPr>
            </w:pPr>
            <w:r>
              <w:rPr>
                <w:rFonts w:ascii="Arial" w:cs="Arial" w:eastAsia="Arial" w:hAnsi="Arial"/>
                <w:sz w:val="15"/>
                <w:szCs w:val="15"/>
                <w:b w:val="1"/>
                <w:bCs w:val="1"/>
                <w:color w:val="auto"/>
              </w:rPr>
              <w:t>For the Six Months Ended</w:t>
            </w:r>
          </w:p>
        </w:tc>
      </w:tr>
      <w:tr>
        <w:trPr>
          <w:trHeight w:val="226"/>
        </w:trPr>
        <w:tc>
          <w:tcPr>
            <w:tcW w:w="6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124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76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34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760" w:type="dxa"/>
            <w:vAlign w:val="bottom"/>
            <w:tcBorders>
              <w:bottom w:val="single" w:sz="8" w:color="2C6937"/>
            </w:tcBorders>
          </w:tcPr>
          <w:p>
            <w:pPr>
              <w:spacing w:after="0"/>
              <w:rPr>
                <w:sz w:val="19"/>
                <w:szCs w:val="19"/>
                <w:color w:val="auto"/>
              </w:rPr>
            </w:pPr>
          </w:p>
        </w:tc>
      </w:tr>
      <w:tr>
        <w:trPr>
          <w:trHeight w:val="229"/>
        </w:trPr>
        <w:tc>
          <w:tcPr>
            <w:tcW w:w="6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76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2C6937"/>
            </w:tcBorders>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2C6937"/>
            </w:tcBorders>
          </w:tcPr>
          <w:p>
            <w:pPr>
              <w:spacing w:after="0"/>
              <w:rPr>
                <w:sz w:val="19"/>
                <w:szCs w:val="19"/>
                <w:color w:val="auto"/>
              </w:rPr>
            </w:pPr>
          </w:p>
        </w:tc>
        <w:tc>
          <w:tcPr>
            <w:tcW w:w="300" w:type="dxa"/>
            <w:vAlign w:val="bottom"/>
            <w:tcBorders>
              <w:bottom w:val="single" w:sz="8" w:color="2C6937"/>
            </w:tcBorders>
          </w:tcPr>
          <w:p>
            <w:pPr>
              <w:spacing w:after="0"/>
              <w:rPr>
                <w:sz w:val="19"/>
                <w:szCs w:val="19"/>
                <w:color w:val="auto"/>
              </w:rPr>
            </w:pPr>
          </w:p>
        </w:tc>
        <w:tc>
          <w:tcPr>
            <w:tcW w:w="76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2023</w:t>
            </w:r>
          </w:p>
        </w:tc>
      </w:tr>
      <w:tr>
        <w:trPr>
          <w:trHeight w:val="299"/>
        </w:trPr>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5"/>
          </w:tcPr>
          <w:p>
            <w:pPr>
              <w:ind w:left="80"/>
              <w:spacing w:after="0"/>
              <w:rPr>
                <w:sz w:val="20"/>
                <w:szCs w:val="20"/>
                <w:color w:val="auto"/>
              </w:rPr>
            </w:pPr>
            <w:r>
              <w:rPr>
                <w:rFonts w:ascii="Arial" w:cs="Arial" w:eastAsia="Arial" w:hAnsi="Arial"/>
                <w:sz w:val="15"/>
                <w:szCs w:val="15"/>
                <w:b w:val="1"/>
                <w:bCs w:val="1"/>
                <w:color w:val="auto"/>
              </w:rPr>
              <w:t>(Dollars in millions)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9"/>
        </w:trPr>
        <w:tc>
          <w:tcPr>
            <w:tcW w:w="6680" w:type="dxa"/>
            <w:vAlign w:val="bottom"/>
            <w:gridSpan w:val="2"/>
          </w:tcPr>
          <w:p>
            <w:pPr>
              <w:ind w:left="20"/>
              <w:spacing w:after="0"/>
              <w:rPr>
                <w:sz w:val="20"/>
                <w:szCs w:val="20"/>
                <w:color w:val="auto"/>
              </w:rPr>
            </w:pPr>
            <w:r>
              <w:rPr>
                <w:rFonts w:ascii="Arial" w:cs="Arial" w:eastAsia="Arial" w:hAnsi="Arial"/>
                <w:sz w:val="15"/>
                <w:szCs w:val="15"/>
                <w:b w:val="1"/>
                <w:bCs w:val="1"/>
                <w:color w:val="auto"/>
              </w:rPr>
              <w:t>Single-family benefit (provision) for credit losses: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68"/>
        </w:trPr>
        <w:tc>
          <w:tcPr>
            <w:tcW w:w="6680" w:type="dxa"/>
            <w:vAlign w:val="bottom"/>
            <w:gridSpan w:val="2"/>
          </w:tcPr>
          <w:p>
            <w:pPr>
              <w:ind w:left="180"/>
              <w:spacing w:after="0"/>
              <w:rPr>
                <w:sz w:val="20"/>
                <w:szCs w:val="20"/>
                <w:color w:val="auto"/>
              </w:rPr>
            </w:pPr>
            <w:r>
              <w:rPr>
                <w:rFonts w:ascii="Arial" w:cs="Arial" w:eastAsia="Arial" w:hAnsi="Arial"/>
                <w:sz w:val="15"/>
                <w:szCs w:val="15"/>
                <w:color w:val="auto"/>
              </w:rPr>
              <w:t>Changes in loan activity</w:t>
            </w:r>
            <w:r>
              <w:rPr>
                <w:rFonts w:ascii="Arial" w:cs="Arial" w:eastAsia="Arial" w:hAnsi="Arial"/>
                <w:sz w:val="20"/>
                <w:szCs w:val="20"/>
                <w:color w:val="auto"/>
                <w:vertAlign w:val="superscript"/>
              </w:rPr>
              <w:t>(1)</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(205)</w:t>
            </w:r>
          </w:p>
        </w:tc>
        <w:tc>
          <w:tcPr>
            <w:tcW w:w="10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(390)</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(441)</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(740)</w:t>
            </w:r>
          </w:p>
        </w:tc>
      </w:tr>
      <w:tr>
        <w:trPr>
          <w:trHeight w:val="263"/>
        </w:trPr>
        <w:tc>
          <w:tcPr>
            <w:tcW w:w="6680" w:type="dxa"/>
            <w:vAlign w:val="bottom"/>
            <w:gridSpan w:val="2"/>
          </w:tcPr>
          <w:p>
            <w:pPr>
              <w:ind w:left="180"/>
              <w:spacing w:after="0"/>
              <w:rPr>
                <w:sz w:val="20"/>
                <w:szCs w:val="20"/>
                <w:color w:val="auto"/>
              </w:rPr>
            </w:pPr>
            <w:r>
              <w:rPr>
                <w:rFonts w:ascii="Arial" w:cs="Arial" w:eastAsia="Arial" w:hAnsi="Arial"/>
                <w:sz w:val="15"/>
                <w:szCs w:val="15"/>
                <w:color w:val="auto"/>
              </w:rPr>
              <w:t>Redesignation of loans from held for investment (“HFI”) to held for sale (“HFS”)</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09"/>
        </w:trPr>
        <w:tc>
          <w:tcPr>
            <w:tcW w:w="6680" w:type="dxa"/>
            <w:vAlign w:val="bottom"/>
            <w:gridSpan w:val="2"/>
          </w:tcPr>
          <w:p>
            <w:pPr>
              <w:ind w:left="180"/>
              <w:spacing w:after="0"/>
              <w:rPr>
                <w:sz w:val="20"/>
                <w:szCs w:val="20"/>
                <w:color w:val="auto"/>
              </w:rPr>
            </w:pPr>
            <w:r>
              <w:rPr>
                <w:rFonts w:ascii="Arial" w:cs="Arial" w:eastAsia="Arial" w:hAnsi="Arial"/>
                <w:sz w:val="15"/>
                <w:szCs w:val="15"/>
                <w:color w:val="auto"/>
              </w:rPr>
              <w:t>Actual and forecasted home prices</w:t>
            </w:r>
          </w:p>
        </w:tc>
        <w:tc>
          <w:tcPr>
            <w:tcW w:w="24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b w:val="1"/>
                <w:bCs w:val="1"/>
                <w:color w:val="auto"/>
              </w:rPr>
              <w:t>606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1,724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b w:val="1"/>
                <w:bCs w:val="1"/>
                <w:color w:val="auto"/>
              </w:rPr>
              <w:t>1,326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2,104</w:t>
            </w:r>
          </w:p>
        </w:tc>
      </w:tr>
      <w:tr>
        <w:trPr>
          <w:trHeight w:val="309"/>
        </w:trPr>
        <w:tc>
          <w:tcPr>
            <w:tcW w:w="6680" w:type="dxa"/>
            <w:vAlign w:val="bottom"/>
            <w:gridSpan w:val="2"/>
          </w:tcPr>
          <w:p>
            <w:pPr>
              <w:ind w:left="180"/>
              <w:spacing w:after="0"/>
              <w:rPr>
                <w:sz w:val="20"/>
                <w:szCs w:val="20"/>
                <w:color w:val="auto"/>
              </w:rPr>
            </w:pPr>
            <w:r>
              <w:rPr>
                <w:rFonts w:ascii="Arial" w:cs="Arial" w:eastAsia="Arial" w:hAnsi="Arial"/>
                <w:sz w:val="15"/>
                <w:szCs w:val="15"/>
                <w:color w:val="auto"/>
              </w:rPr>
              <w:t>Actual and projected interest rates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(56)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(233)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303"/>
        </w:trPr>
        <w:tc>
          <w:tcPr>
            <w:tcW w:w="65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(2)</w:t>
            </w:r>
          </w:p>
        </w:tc>
        <w:tc>
          <w:tcPr>
            <w:tcW w:w="10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217</w:t>
            </w:r>
          </w:p>
        </w:tc>
        <w:tc>
          <w:tcPr>
            <w:tcW w:w="10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230</w:t>
            </w:r>
          </w:p>
        </w:tc>
        <w:tc>
          <w:tcPr>
            <w:tcW w:w="8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266</w:t>
            </w:r>
          </w:p>
        </w:tc>
        <w:tc>
          <w:tcPr>
            <w:tcW w:w="10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125</w:t>
            </w:r>
          </w:p>
        </w:tc>
      </w:tr>
      <w:tr>
        <w:trPr>
          <w:trHeight w:val="302"/>
        </w:trPr>
        <w:tc>
          <w:tcPr>
            <w:tcW w:w="6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Single-family benefit (provision) for credit losses</w:t>
            </w:r>
          </w:p>
        </w:tc>
        <w:tc>
          <w:tcPr>
            <w:tcW w:w="100" w:type="dxa"/>
            <w:vAlign w:val="bottom"/>
          </w:tcPr>
          <w:p>
            <w:pPr>
              <w:spacing w:after="0"/>
              <w:rPr>
                <w:sz w:val="24"/>
                <w:szCs w:val="24"/>
                <w:color w:val="auto"/>
              </w:rPr>
            </w:pPr>
          </w:p>
        </w:tc>
        <w:tc>
          <w:tcPr>
            <w:tcW w:w="240" w:type="dxa"/>
            <w:vAlign w:val="bottom"/>
            <w:tcBorders>
              <w:bottom w:val="single" w:sz="8" w:color="216C2B"/>
            </w:tcBorders>
          </w:tcPr>
          <w:p>
            <w:pPr>
              <w:spacing w:after="0"/>
              <w:rPr>
                <w:sz w:val="24"/>
                <w:szCs w:val="24"/>
                <w:color w:val="auto"/>
              </w:rPr>
            </w:pPr>
          </w:p>
        </w:tc>
        <w:tc>
          <w:tcPr>
            <w:tcW w:w="820" w:type="dxa"/>
            <w:vAlign w:val="bottom"/>
            <w:tcBorders>
              <w:bottom w:val="single" w:sz="8" w:color="216C2B"/>
            </w:tcBorders>
          </w:tcPr>
          <w:p>
            <w:pPr>
              <w:jc w:val="right"/>
              <w:ind w:right="3"/>
              <w:spacing w:after="0"/>
              <w:rPr>
                <w:sz w:val="20"/>
                <w:szCs w:val="20"/>
                <w:color w:val="auto"/>
              </w:rPr>
            </w:pPr>
            <w:r>
              <w:rPr>
                <w:rFonts w:ascii="Arial" w:cs="Arial" w:eastAsia="Arial" w:hAnsi="Arial"/>
                <w:sz w:val="15"/>
                <w:szCs w:val="15"/>
                <w:b w:val="1"/>
                <w:bCs w:val="1"/>
                <w:color w:val="auto"/>
              </w:rPr>
              <w:t>548</w:t>
            </w:r>
          </w:p>
        </w:tc>
        <w:tc>
          <w:tcPr>
            <w:tcW w:w="100" w:type="dxa"/>
            <w:vAlign w:val="bottom"/>
          </w:tcPr>
          <w:p>
            <w:pPr>
              <w:spacing w:after="0"/>
              <w:rPr>
                <w:sz w:val="24"/>
                <w:szCs w:val="24"/>
                <w:color w:val="auto"/>
              </w:rPr>
            </w:pPr>
          </w:p>
        </w:tc>
        <w:tc>
          <w:tcPr>
            <w:tcW w:w="320" w:type="dxa"/>
            <w:vAlign w:val="bottom"/>
            <w:tcBorders>
              <w:bottom w:val="single" w:sz="8" w:color="216C2B"/>
            </w:tcBorders>
          </w:tcPr>
          <w:p>
            <w:pPr>
              <w:spacing w:after="0"/>
              <w:rPr>
                <w:sz w:val="24"/>
                <w:szCs w:val="24"/>
                <w:color w:val="auto"/>
              </w:rPr>
            </w:pPr>
          </w:p>
        </w:tc>
        <w:tc>
          <w:tcPr>
            <w:tcW w:w="760" w:type="dxa"/>
            <w:vAlign w:val="bottom"/>
            <w:tcBorders>
              <w:bottom w:val="single" w:sz="8" w:color="216C2B"/>
            </w:tcBorders>
          </w:tcPr>
          <w:p>
            <w:pPr>
              <w:jc w:val="right"/>
              <w:ind w:right="3"/>
              <w:spacing w:after="0"/>
              <w:rPr>
                <w:sz w:val="20"/>
                <w:szCs w:val="20"/>
                <w:color w:val="auto"/>
              </w:rPr>
            </w:pPr>
            <w:r>
              <w:rPr>
                <w:rFonts w:ascii="Arial" w:cs="Arial" w:eastAsia="Arial" w:hAnsi="Arial"/>
                <w:sz w:val="15"/>
                <w:szCs w:val="15"/>
                <w:color w:val="auto"/>
              </w:rPr>
              <w:t>1,418</w:t>
            </w:r>
          </w:p>
        </w:tc>
        <w:tc>
          <w:tcPr>
            <w:tcW w:w="80" w:type="dxa"/>
            <w:vAlign w:val="bottom"/>
          </w:tcPr>
          <w:p>
            <w:pPr>
              <w:spacing w:after="0"/>
              <w:rPr>
                <w:sz w:val="24"/>
                <w:szCs w:val="24"/>
                <w:color w:val="auto"/>
              </w:rPr>
            </w:pPr>
          </w:p>
        </w:tc>
        <w:tc>
          <w:tcPr>
            <w:tcW w:w="140" w:type="dxa"/>
            <w:vAlign w:val="bottom"/>
            <w:tcBorders>
              <w:bottom w:val="single" w:sz="8" w:color="216C2B"/>
            </w:tcBorders>
          </w:tcPr>
          <w:p>
            <w:pPr>
              <w:spacing w:after="0"/>
              <w:rPr>
                <w:sz w:val="24"/>
                <w:szCs w:val="24"/>
                <w:color w:val="auto"/>
              </w:rPr>
            </w:pPr>
          </w:p>
        </w:tc>
        <w:tc>
          <w:tcPr>
            <w:tcW w:w="940" w:type="dxa"/>
            <w:vAlign w:val="bottom"/>
            <w:tcBorders>
              <w:bottom w:val="single" w:sz="8" w:color="216C2B"/>
            </w:tcBorders>
          </w:tcPr>
          <w:p>
            <w:pPr>
              <w:jc w:val="right"/>
              <w:ind w:right="3"/>
              <w:spacing w:after="0"/>
              <w:rPr>
                <w:sz w:val="20"/>
                <w:szCs w:val="20"/>
                <w:color w:val="auto"/>
              </w:rPr>
            </w:pPr>
            <w:r>
              <w:rPr>
                <w:rFonts w:ascii="Arial" w:cs="Arial" w:eastAsia="Arial" w:hAnsi="Arial"/>
                <w:sz w:val="15"/>
                <w:szCs w:val="15"/>
                <w:b w:val="1"/>
                <w:bCs w:val="1"/>
                <w:color w:val="auto"/>
              </w:rPr>
              <w:t>883</w:t>
            </w:r>
          </w:p>
        </w:tc>
        <w:tc>
          <w:tcPr>
            <w:tcW w:w="100" w:type="dxa"/>
            <w:vAlign w:val="bottom"/>
          </w:tcPr>
          <w:p>
            <w:pPr>
              <w:spacing w:after="0"/>
              <w:rPr>
                <w:sz w:val="24"/>
                <w:szCs w:val="24"/>
                <w:color w:val="auto"/>
              </w:rPr>
            </w:pPr>
          </w:p>
        </w:tc>
        <w:tc>
          <w:tcPr>
            <w:tcW w:w="300" w:type="dxa"/>
            <w:vAlign w:val="bottom"/>
            <w:tcBorders>
              <w:bottom w:val="single" w:sz="8" w:color="216C2B"/>
            </w:tcBorders>
          </w:tcPr>
          <w:p>
            <w:pPr>
              <w:spacing w:after="0"/>
              <w:rPr>
                <w:sz w:val="24"/>
                <w:szCs w:val="24"/>
                <w:color w:val="auto"/>
              </w:rPr>
            </w:pPr>
          </w:p>
        </w:tc>
        <w:tc>
          <w:tcPr>
            <w:tcW w:w="76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1,465</w:t>
            </w:r>
          </w:p>
        </w:tc>
      </w:tr>
      <w:tr>
        <w:trPr>
          <w:trHeight w:val="296"/>
        </w:trPr>
        <w:tc>
          <w:tcPr>
            <w:tcW w:w="6680" w:type="dxa"/>
            <w:vAlign w:val="bottom"/>
            <w:gridSpan w:val="2"/>
          </w:tcPr>
          <w:p>
            <w:pPr>
              <w:ind w:left="20"/>
              <w:spacing w:after="0"/>
              <w:rPr>
                <w:sz w:val="20"/>
                <w:szCs w:val="20"/>
                <w:color w:val="auto"/>
              </w:rPr>
            </w:pPr>
            <w:r>
              <w:rPr>
                <w:rFonts w:ascii="Arial" w:cs="Arial" w:eastAsia="Arial" w:hAnsi="Arial"/>
                <w:sz w:val="15"/>
                <w:szCs w:val="15"/>
                <w:b w:val="1"/>
                <w:bCs w:val="1"/>
                <w:color w:val="auto"/>
              </w:rPr>
              <w:t>Multifamily benefit (provision) for credit losses: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68"/>
        </w:trPr>
        <w:tc>
          <w:tcPr>
            <w:tcW w:w="6680" w:type="dxa"/>
            <w:vAlign w:val="bottom"/>
            <w:gridSpan w:val="2"/>
          </w:tcPr>
          <w:p>
            <w:pPr>
              <w:ind w:left="180"/>
              <w:spacing w:after="0"/>
              <w:rPr>
                <w:sz w:val="20"/>
                <w:szCs w:val="20"/>
                <w:color w:val="auto"/>
              </w:rPr>
            </w:pPr>
            <w:r>
              <w:rPr>
                <w:rFonts w:ascii="Arial" w:cs="Arial" w:eastAsia="Arial" w:hAnsi="Arial"/>
                <w:sz w:val="15"/>
                <w:szCs w:val="15"/>
                <w:color w:val="auto"/>
              </w:rPr>
              <w:t>Changes in loan activity</w:t>
            </w:r>
            <w:r>
              <w:rPr>
                <w:rFonts w:ascii="Arial" w:cs="Arial" w:eastAsia="Arial" w:hAnsi="Arial"/>
                <w:sz w:val="20"/>
                <w:szCs w:val="20"/>
                <w:color w:val="auto"/>
                <w:vertAlign w:val="superscript"/>
              </w:rPr>
              <w:t>(1)</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(166)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263"/>
        </w:trPr>
        <w:tc>
          <w:tcPr>
            <w:tcW w:w="6680" w:type="dxa"/>
            <w:vAlign w:val="bottom"/>
            <w:gridSpan w:val="2"/>
          </w:tcPr>
          <w:p>
            <w:pPr>
              <w:ind w:left="180"/>
              <w:spacing w:after="0"/>
              <w:rPr>
                <w:sz w:val="20"/>
                <w:szCs w:val="20"/>
                <w:color w:val="auto"/>
              </w:rPr>
            </w:pPr>
            <w:r>
              <w:rPr>
                <w:rFonts w:ascii="Arial" w:cs="Arial" w:eastAsia="Arial" w:hAnsi="Arial"/>
                <w:sz w:val="15"/>
                <w:szCs w:val="15"/>
                <w:color w:val="auto"/>
              </w:rPr>
              <w:t>Actual and projected interest rates</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78"/>
        </w:trPr>
        <w:tc>
          <w:tcPr>
            <w:tcW w:w="6680" w:type="dxa"/>
            <w:vAlign w:val="bottom"/>
            <w:gridSpan w:val="2"/>
          </w:tcPr>
          <w:p>
            <w:pPr>
              <w:ind w:left="180"/>
              <w:spacing w:after="0"/>
              <w:rPr>
                <w:sz w:val="20"/>
                <w:szCs w:val="20"/>
                <w:color w:val="auto"/>
              </w:rPr>
            </w:pPr>
            <w:r>
              <w:rPr>
                <w:rFonts w:ascii="Arial" w:cs="Arial" w:eastAsia="Arial" w:hAnsi="Arial"/>
                <w:sz w:val="15"/>
                <w:szCs w:val="15"/>
                <w:color w:val="auto"/>
              </w:rPr>
              <w:t>Actual and projected economic data</w:t>
            </w:r>
            <w:r>
              <w:rPr>
                <w:rFonts w:ascii="Arial" w:cs="Arial" w:eastAsia="Arial" w:hAnsi="Arial"/>
                <w:sz w:val="20"/>
                <w:szCs w:val="20"/>
                <w:color w:val="auto"/>
                <w:vertAlign w:val="superscript"/>
              </w:rPr>
              <w:t>(3)</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(154)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(71)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(303)</w:t>
            </w:r>
          </w:p>
        </w:tc>
      </w:tr>
      <w:tr>
        <w:trPr>
          <w:trHeight w:val="257"/>
        </w:trPr>
        <w:tc>
          <w:tcPr>
            <w:tcW w:w="65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2"/>
                <w:szCs w:val="22"/>
                <w:color w:val="auto"/>
              </w:rPr>
            </w:pPr>
          </w:p>
        </w:tc>
        <w:tc>
          <w:tcPr>
            <w:tcW w:w="240" w:type="dxa"/>
            <w:vAlign w:val="bottom"/>
            <w:tcBorders>
              <w:bottom w:val="single" w:sz="8" w:color="2C6937"/>
            </w:tcBorders>
          </w:tcPr>
          <w:p>
            <w:pPr>
              <w:spacing w:after="0"/>
              <w:rPr>
                <w:sz w:val="22"/>
                <w:szCs w:val="22"/>
                <w:color w:val="auto"/>
              </w:rPr>
            </w:pPr>
          </w:p>
        </w:tc>
        <w:tc>
          <w:tcPr>
            <w:tcW w:w="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43</w:t>
            </w:r>
          </w:p>
        </w:tc>
        <w:tc>
          <w:tcPr>
            <w:tcW w:w="100" w:type="dxa"/>
            <w:vAlign w:val="bottom"/>
          </w:tcPr>
          <w:p>
            <w:pPr>
              <w:spacing w:after="0"/>
              <w:rPr>
                <w:sz w:val="22"/>
                <w:szCs w:val="22"/>
                <w:color w:val="auto"/>
              </w:rPr>
            </w:pPr>
          </w:p>
        </w:tc>
        <w:tc>
          <w:tcPr>
            <w:tcW w:w="32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108</w:t>
            </w:r>
          </w:p>
        </w:tc>
        <w:tc>
          <w:tcPr>
            <w:tcW w:w="8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(65)</w:t>
            </w:r>
          </w:p>
        </w:tc>
        <w:tc>
          <w:tcPr>
            <w:tcW w:w="100" w:type="dxa"/>
            <w:vAlign w:val="bottom"/>
          </w:tcPr>
          <w:p>
            <w:pPr>
              <w:spacing w:after="0"/>
              <w:rPr>
                <w:sz w:val="22"/>
                <w:szCs w:val="22"/>
                <w:color w:val="auto"/>
              </w:rPr>
            </w:pPr>
          </w:p>
        </w:tc>
        <w:tc>
          <w:tcPr>
            <w:tcW w:w="3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48</w:t>
            </w:r>
          </w:p>
        </w:tc>
      </w:tr>
      <w:tr>
        <w:trPr>
          <w:trHeight w:val="302"/>
        </w:trPr>
        <w:tc>
          <w:tcPr>
            <w:tcW w:w="658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Multifamily benefit (provision) for credit losses</w:t>
            </w:r>
          </w:p>
        </w:tc>
        <w:tc>
          <w:tcPr>
            <w:tcW w:w="100" w:type="dxa"/>
            <w:vAlign w:val="bottom"/>
          </w:tcPr>
          <w:p>
            <w:pPr>
              <w:spacing w:after="0"/>
              <w:rPr>
                <w:sz w:val="24"/>
                <w:szCs w:val="24"/>
                <w:color w:val="auto"/>
              </w:rPr>
            </w:pPr>
          </w:p>
        </w:tc>
        <w:tc>
          <w:tcPr>
            <w:tcW w:w="240" w:type="dxa"/>
            <w:vAlign w:val="bottom"/>
            <w:tcBorders>
              <w:bottom w:val="single" w:sz="8" w:color="216C2B"/>
            </w:tcBorders>
          </w:tcPr>
          <w:p>
            <w:pPr>
              <w:spacing w:after="0"/>
              <w:rPr>
                <w:sz w:val="24"/>
                <w:szCs w:val="24"/>
                <w:color w:val="auto"/>
              </w:rPr>
            </w:pPr>
          </w:p>
        </w:tc>
        <w:tc>
          <w:tcPr>
            <w:tcW w:w="82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(248)</w:t>
            </w:r>
          </w:p>
        </w:tc>
        <w:tc>
          <w:tcPr>
            <w:tcW w:w="100" w:type="dxa"/>
            <w:vAlign w:val="bottom"/>
          </w:tcPr>
          <w:p>
            <w:pPr>
              <w:spacing w:after="0"/>
              <w:rPr>
                <w:sz w:val="24"/>
                <w:szCs w:val="24"/>
                <w:color w:val="auto"/>
              </w:rPr>
            </w:pPr>
          </w:p>
        </w:tc>
        <w:tc>
          <w:tcPr>
            <w:tcW w:w="320" w:type="dxa"/>
            <w:vAlign w:val="bottom"/>
            <w:tcBorders>
              <w:bottom w:val="single" w:sz="8" w:color="216C2B"/>
            </w:tcBorders>
          </w:tcPr>
          <w:p>
            <w:pPr>
              <w:spacing w:after="0"/>
              <w:rPr>
                <w:sz w:val="24"/>
                <w:szCs w:val="24"/>
                <w:color w:val="auto"/>
              </w:rPr>
            </w:pPr>
          </w:p>
        </w:tc>
        <w:tc>
          <w:tcPr>
            <w:tcW w:w="76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(152)</w:t>
            </w:r>
          </w:p>
        </w:tc>
        <w:tc>
          <w:tcPr>
            <w:tcW w:w="80" w:type="dxa"/>
            <w:vAlign w:val="bottom"/>
          </w:tcPr>
          <w:p>
            <w:pPr>
              <w:spacing w:after="0"/>
              <w:rPr>
                <w:sz w:val="24"/>
                <w:szCs w:val="24"/>
                <w:color w:val="auto"/>
              </w:rPr>
            </w:pPr>
          </w:p>
        </w:tc>
        <w:tc>
          <w:tcPr>
            <w:tcW w:w="140" w:type="dxa"/>
            <w:vAlign w:val="bottom"/>
            <w:tcBorders>
              <w:bottom w:val="single" w:sz="8" w:color="216C2B"/>
            </w:tcBorders>
          </w:tcPr>
          <w:p>
            <w:pPr>
              <w:spacing w:after="0"/>
              <w:rPr>
                <w:sz w:val="24"/>
                <w:szCs w:val="24"/>
                <w:color w:val="auto"/>
              </w:rPr>
            </w:pPr>
          </w:p>
        </w:tc>
        <w:tc>
          <w:tcPr>
            <w:tcW w:w="94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(403)</w:t>
            </w:r>
          </w:p>
        </w:tc>
        <w:tc>
          <w:tcPr>
            <w:tcW w:w="100" w:type="dxa"/>
            <w:vAlign w:val="bottom"/>
          </w:tcPr>
          <w:p>
            <w:pPr>
              <w:spacing w:after="0"/>
              <w:rPr>
                <w:sz w:val="24"/>
                <w:szCs w:val="24"/>
                <w:color w:val="auto"/>
              </w:rPr>
            </w:pPr>
          </w:p>
        </w:tc>
        <w:tc>
          <w:tcPr>
            <w:tcW w:w="300" w:type="dxa"/>
            <w:vAlign w:val="bottom"/>
            <w:tcBorders>
              <w:bottom w:val="single" w:sz="8" w:color="216C2B"/>
            </w:tcBorders>
          </w:tcPr>
          <w:p>
            <w:pPr>
              <w:spacing w:after="0"/>
              <w:rPr>
                <w:sz w:val="24"/>
                <w:szCs w:val="24"/>
                <w:color w:val="auto"/>
              </w:rPr>
            </w:pPr>
          </w:p>
        </w:tc>
        <w:tc>
          <w:tcPr>
            <w:tcW w:w="76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(331)</w:t>
            </w:r>
          </w:p>
        </w:tc>
      </w:tr>
      <w:tr>
        <w:trPr>
          <w:trHeight w:val="302"/>
        </w:trPr>
        <w:tc>
          <w:tcPr>
            <w:tcW w:w="6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benefit (provision) for credit losses</w:t>
            </w:r>
          </w:p>
        </w:tc>
        <w:tc>
          <w:tcPr>
            <w:tcW w:w="100" w:type="dxa"/>
            <w:vAlign w:val="bottom"/>
          </w:tcPr>
          <w:p>
            <w:pPr>
              <w:spacing w:after="0"/>
              <w:rPr>
                <w:sz w:val="24"/>
                <w:szCs w:val="24"/>
                <w:color w:val="auto"/>
              </w:rPr>
            </w:pPr>
          </w:p>
        </w:tc>
        <w:tc>
          <w:tcPr>
            <w:tcW w:w="240" w:type="dxa"/>
            <w:vAlign w:val="bottom"/>
            <w:tcBorders>
              <w:bottom w:val="single" w:sz="8" w:color="2C6937"/>
            </w:tcBorders>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300</w:t>
            </w:r>
          </w:p>
        </w:tc>
        <w:tc>
          <w:tcPr>
            <w:tcW w:w="100" w:type="dxa"/>
            <w:vAlign w:val="bottom"/>
          </w:tcPr>
          <w:p>
            <w:pPr>
              <w:spacing w:after="0"/>
              <w:rPr>
                <w:sz w:val="24"/>
                <w:szCs w:val="24"/>
                <w:color w:val="auto"/>
              </w:rPr>
            </w:pPr>
          </w:p>
        </w:tc>
        <w:tc>
          <w:tcPr>
            <w:tcW w:w="320" w:type="dxa"/>
            <w:vAlign w:val="bottom"/>
            <w:tcBorders>
              <w:bottom w:val="single" w:sz="8" w:color="2C6937"/>
            </w:tcBorders>
          </w:tcPr>
          <w:p>
            <w:pPr>
              <w:jc w:val="right"/>
              <w:ind w:right="14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1,266</w:t>
            </w:r>
          </w:p>
        </w:tc>
        <w:tc>
          <w:tcPr>
            <w:tcW w:w="80" w:type="dxa"/>
            <w:vAlign w:val="bottom"/>
          </w:tcPr>
          <w:p>
            <w:pPr>
              <w:spacing w:after="0"/>
              <w:rPr>
                <w:sz w:val="24"/>
                <w:szCs w:val="24"/>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480</w:t>
            </w:r>
          </w:p>
        </w:tc>
        <w:tc>
          <w:tcPr>
            <w:tcW w:w="100" w:type="dxa"/>
            <w:vAlign w:val="bottom"/>
          </w:tcPr>
          <w:p>
            <w:pPr>
              <w:spacing w:after="0"/>
              <w:rPr>
                <w:sz w:val="24"/>
                <w:szCs w:val="24"/>
                <w:color w:val="auto"/>
              </w:rPr>
            </w:pPr>
          </w:p>
        </w:tc>
        <w:tc>
          <w:tcPr>
            <w:tcW w:w="300" w:type="dxa"/>
            <w:vAlign w:val="bottom"/>
            <w:tcBorders>
              <w:bottom w:val="single" w:sz="8" w:color="2C6937"/>
            </w:tcBorders>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1,134</w:t>
            </w:r>
          </w:p>
        </w:tc>
      </w:tr>
      <w:tr>
        <w:trPr>
          <w:trHeight w:val="20"/>
        </w:trPr>
        <w:tc>
          <w:tcPr>
            <w:tcW w:w="65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r>
      <w:tr>
        <w:trPr>
          <w:trHeight w:val="499"/>
        </w:trPr>
        <w:tc>
          <w:tcPr>
            <w:tcW w:w="6680" w:type="dxa"/>
            <w:vAlign w:val="bottom"/>
            <w:gridSpan w:val="2"/>
          </w:tcPr>
          <w:p>
            <w:pPr>
              <w:ind w:left="20"/>
              <w:spacing w:after="0"/>
              <w:rPr>
                <w:sz w:val="20"/>
                <w:szCs w:val="20"/>
                <w:color w:val="auto"/>
              </w:rPr>
            </w:pPr>
            <w:r>
              <w:rPr>
                <w:rFonts w:ascii="Arial" w:cs="Arial" w:eastAsia="Arial" w:hAnsi="Arial"/>
                <w:sz w:val="15"/>
                <w:szCs w:val="15"/>
                <w:b w:val="1"/>
                <w:bCs w:val="1"/>
                <w:color w:val="auto"/>
              </w:rPr>
              <w:t>Change in expected credit enhancement recoveries:</w:t>
            </w:r>
            <w:r>
              <w:rPr>
                <w:rFonts w:ascii="Arial" w:cs="Arial" w:eastAsia="Arial" w:hAnsi="Arial"/>
                <w:sz w:val="20"/>
                <w:szCs w:val="20"/>
                <w:b w:val="1"/>
                <w:bCs w:val="1"/>
                <w:color w:val="auto"/>
                <w:vertAlign w:val="superscript"/>
              </w:rPr>
              <w:t>(4)</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9"/>
        </w:trPr>
        <w:tc>
          <w:tcPr>
            <w:tcW w:w="6680" w:type="dxa"/>
            <w:vAlign w:val="bottom"/>
            <w:gridSpan w:val="2"/>
          </w:tcPr>
          <w:p>
            <w:pPr>
              <w:ind w:left="180"/>
              <w:spacing w:after="0"/>
              <w:rPr>
                <w:sz w:val="20"/>
                <w:szCs w:val="20"/>
                <w:color w:val="auto"/>
              </w:rPr>
            </w:pPr>
            <w:r>
              <w:rPr>
                <w:rFonts w:ascii="Arial" w:cs="Arial" w:eastAsia="Arial" w:hAnsi="Arial"/>
                <w:sz w:val="15"/>
                <w:szCs w:val="15"/>
                <w:color w:val="auto"/>
              </w:rPr>
              <w:t>Single-family</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(47)</w:t>
            </w:r>
          </w:p>
        </w:tc>
        <w:tc>
          <w:tcPr>
            <w:tcW w:w="100" w:type="dxa"/>
            <w:vAlign w:val="bottom"/>
          </w:tcPr>
          <w:p>
            <w:pPr>
              <w:spacing w:after="0"/>
              <w:rPr>
                <w:sz w:val="22"/>
                <w:szCs w:val="22"/>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(223)</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(89)</w:t>
            </w:r>
          </w:p>
        </w:tc>
        <w:tc>
          <w:tcPr>
            <w:tcW w:w="100" w:type="dxa"/>
            <w:vAlign w:val="bottom"/>
          </w:tcPr>
          <w:p>
            <w:pPr>
              <w:spacing w:after="0"/>
              <w:rPr>
                <w:sz w:val="22"/>
                <w:szCs w:val="22"/>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(128)</w:t>
            </w:r>
          </w:p>
        </w:tc>
      </w:tr>
      <w:tr>
        <w:trPr>
          <w:trHeight w:val="303"/>
        </w:trPr>
        <w:tc>
          <w:tcPr>
            <w:tcW w:w="65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84</w:t>
            </w:r>
          </w:p>
        </w:tc>
        <w:tc>
          <w:tcPr>
            <w:tcW w:w="10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189</w:t>
            </w:r>
          </w:p>
        </w:tc>
        <w:tc>
          <w:tcPr>
            <w:tcW w:w="10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88</w:t>
            </w:r>
          </w:p>
        </w:tc>
      </w:tr>
      <w:tr>
        <w:trPr>
          <w:trHeight w:val="302"/>
        </w:trPr>
        <w:tc>
          <w:tcPr>
            <w:tcW w:w="6680" w:type="dxa"/>
            <w:vAlign w:val="bottom"/>
            <w:gridSpan w:val="2"/>
          </w:tcPr>
          <w:p>
            <w:pPr>
              <w:ind w:left="20"/>
              <w:spacing w:after="0"/>
              <w:rPr>
                <w:sz w:val="20"/>
                <w:szCs w:val="20"/>
                <w:color w:val="auto"/>
              </w:rPr>
            </w:pPr>
            <w:r>
              <w:rPr>
                <w:rFonts w:ascii="Arial" w:cs="Arial" w:eastAsia="Arial" w:hAnsi="Arial"/>
                <w:sz w:val="15"/>
                <w:szCs w:val="15"/>
                <w:color w:val="auto"/>
              </w:rPr>
              <w:t>Change in expected credit enhancement recoveries</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ind w:right="3"/>
              <w:spacing w:after="0"/>
              <w:rPr>
                <w:sz w:val="20"/>
                <w:szCs w:val="20"/>
                <w:color w:val="auto"/>
              </w:rPr>
            </w:pPr>
            <w:r>
              <w:rPr>
                <w:rFonts w:ascii="Arial" w:cs="Arial" w:eastAsia="Arial" w:hAnsi="Arial"/>
                <w:sz w:val="15"/>
                <w:szCs w:val="15"/>
                <w:b w:val="1"/>
                <w:bCs w:val="1"/>
                <w:color w:val="auto"/>
              </w:rPr>
              <w:t>37</w:t>
            </w:r>
          </w:p>
        </w:tc>
        <w:tc>
          <w:tcPr>
            <w:tcW w:w="10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(160)</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3"/>
              <w:spacing w:after="0"/>
              <w:rPr>
                <w:sz w:val="20"/>
                <w:szCs w:val="20"/>
                <w:color w:val="auto"/>
              </w:rPr>
            </w:pPr>
            <w:r>
              <w:rPr>
                <w:rFonts w:ascii="Arial" w:cs="Arial" w:eastAsia="Arial" w:hAnsi="Arial"/>
                <w:sz w:val="15"/>
                <w:szCs w:val="15"/>
                <w:b w:val="1"/>
                <w:bCs w:val="1"/>
                <w:color w:val="auto"/>
              </w:rPr>
              <w:t>100</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0"/>
        </w:trPr>
        <w:tc>
          <w:tcPr>
            <w:tcW w:w="658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26600"/>
              <w:bottom w:val="single" w:sz="8" w:color="226600"/>
            </w:tcBorders>
          </w:tcPr>
          <w:p>
            <w:pPr>
              <w:spacing w:after="0" w:line="20" w:lineRule="exact"/>
              <w:rPr>
                <w:sz w:val="1"/>
                <w:szCs w:val="1"/>
                <w:color w:val="auto"/>
              </w:rPr>
            </w:pPr>
          </w:p>
        </w:tc>
        <w:tc>
          <w:tcPr>
            <w:tcW w:w="82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26600"/>
              <w:bottom w:val="single" w:sz="8" w:color="226600"/>
            </w:tcBorders>
          </w:tcPr>
          <w:p>
            <w:pPr>
              <w:spacing w:after="0" w:line="20" w:lineRule="exact"/>
              <w:rPr>
                <w:sz w:val="1"/>
                <w:szCs w:val="1"/>
                <w:color w:val="auto"/>
              </w:rPr>
            </w:pPr>
          </w:p>
        </w:tc>
        <w:tc>
          <w:tcPr>
            <w:tcW w:w="760" w:type="dxa"/>
            <w:vAlign w:val="bottom"/>
            <w:tcBorders>
              <w:top w:val="single" w:sz="8" w:color="226600"/>
              <w:bottom w:val="single" w:sz="8" w:color="22660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26600"/>
              <w:bottom w:val="single" w:sz="8" w:color="226600"/>
            </w:tcBorders>
          </w:tcPr>
          <w:p>
            <w:pPr>
              <w:spacing w:after="0" w:line="20" w:lineRule="exact"/>
              <w:rPr>
                <w:sz w:val="1"/>
                <w:szCs w:val="1"/>
                <w:color w:val="auto"/>
              </w:rPr>
            </w:pPr>
          </w:p>
        </w:tc>
        <w:tc>
          <w:tcPr>
            <w:tcW w:w="94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26600"/>
              <w:bottom w:val="single" w:sz="8" w:color="226600"/>
            </w:tcBorders>
          </w:tcPr>
          <w:p>
            <w:pPr>
              <w:spacing w:after="0" w:line="20" w:lineRule="exact"/>
              <w:rPr>
                <w:sz w:val="1"/>
                <w:szCs w:val="1"/>
                <w:color w:val="auto"/>
              </w:rPr>
            </w:pPr>
          </w:p>
        </w:tc>
        <w:tc>
          <w:tcPr>
            <w:tcW w:w="760" w:type="dxa"/>
            <w:vAlign w:val="bottom"/>
            <w:tcBorders>
              <w:top w:val="single" w:sz="8" w:color="226600"/>
              <w:bottom w:val="single" w:sz="8" w:color="226600"/>
            </w:tcBorders>
          </w:tcPr>
          <w:p>
            <w:pPr>
              <w:spacing w:after="0" w:line="20" w:lineRule="exact"/>
              <w:rPr>
                <w:sz w:val="1"/>
                <w:szCs w:val="1"/>
                <w:color w:val="auto"/>
              </w:rPr>
            </w:pPr>
          </w:p>
        </w:tc>
      </w:tr>
    </w:tbl>
    <w:p>
      <w:pPr>
        <w:spacing w:after="0" w:line="96" w:lineRule="exact"/>
        <w:rPr>
          <w:sz w:val="20"/>
          <w:szCs w:val="20"/>
          <w:color w:val="auto"/>
        </w:rPr>
      </w:pPr>
    </w:p>
    <w:p>
      <w:pPr>
        <w:ind w:left="240" w:right="40" w:hanging="237"/>
        <w:spacing w:after="0" w:line="228" w:lineRule="auto"/>
        <w:tabs>
          <w:tab w:leader="none" w:pos="233"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Primarily consists of loan acquisitions, liquidations, changes in loan delinquencies and write-offs of amounts determined to be uncollectible. For multifamily, “Changes in loan activity” also includes changes in the allowance due to loan delinquencies and the impact of changes in debt service coverage ratios (“DSCRs”) based on updated property financial information, which is used to assess loan credit quality.</w:t>
      </w:r>
    </w:p>
    <w:p>
      <w:pPr>
        <w:spacing w:after="0" w:line="26" w:lineRule="exact"/>
        <w:rPr>
          <w:rFonts w:ascii="Arial" w:cs="Arial" w:eastAsia="Arial" w:hAnsi="Arial"/>
          <w:sz w:val="18"/>
          <w:szCs w:val="18"/>
          <w:color w:val="auto"/>
          <w:vertAlign w:val="superscript"/>
        </w:rPr>
      </w:pPr>
    </w:p>
    <w:p>
      <w:pPr>
        <w:ind w:left="240" w:right="160" w:hanging="237"/>
        <w:spacing w:after="0" w:line="259" w:lineRule="auto"/>
        <w:tabs>
          <w:tab w:leader="none" w:pos="233" w:val="left"/>
        </w:tabs>
        <w:numPr>
          <w:ilvl w:val="0"/>
          <w:numId w:val="17"/>
        </w:numPr>
        <w:rPr>
          <w:rFonts w:ascii="Arial" w:cs="Arial" w:eastAsia="Arial" w:hAnsi="Arial"/>
          <w:sz w:val="9"/>
          <w:szCs w:val="9"/>
          <w:color w:val="auto"/>
        </w:rPr>
      </w:pPr>
      <w:r>
        <w:rPr>
          <w:rFonts w:ascii="Arial" w:cs="Arial" w:eastAsia="Arial" w:hAnsi="Arial"/>
          <w:sz w:val="14"/>
          <w:szCs w:val="14"/>
          <w:color w:val="auto"/>
        </w:rPr>
        <w:t>Includes provision for allowance on accrued interest receivable and impacts of model enhancements. Also includes any benefit or provision for our guaranty loss reserves that are not separately included in the other components. Beginning with the period ended March 31, 2024, also includes the release of economic concessions related to loans previously designated as troubled debt restructurings (“TDRs”) that received loss mitigation arrangements during the period. Prior periods have been updated to conform to the current period presentation.</w:t>
      </w:r>
    </w:p>
    <w:p>
      <w:pPr>
        <w:ind w:left="220" w:hanging="217"/>
        <w:spacing w:after="0"/>
        <w:tabs>
          <w:tab w:leader="none" w:pos="22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Primarily consists of changes attributed to projected property net operating income, actual and projected property values, and labor market forecasts.</w:t>
      </w:r>
    </w:p>
    <w:p>
      <w:pPr>
        <w:spacing w:after="0" w:line="24" w:lineRule="exact"/>
        <w:rPr>
          <w:rFonts w:ascii="Arial" w:cs="Arial" w:eastAsia="Arial" w:hAnsi="Arial"/>
          <w:sz w:val="18"/>
          <w:szCs w:val="18"/>
          <w:color w:val="auto"/>
          <w:vertAlign w:val="superscript"/>
        </w:rPr>
      </w:pPr>
    </w:p>
    <w:p>
      <w:pPr>
        <w:ind w:left="240" w:right="260" w:hanging="237"/>
        <w:spacing w:after="0" w:line="260" w:lineRule="auto"/>
        <w:tabs>
          <w:tab w:leader="none" w:pos="233" w:val="left"/>
        </w:tabs>
        <w:numPr>
          <w:ilvl w:val="0"/>
          <w:numId w:val="17"/>
        </w:numPr>
        <w:rPr>
          <w:rFonts w:ascii="Arial" w:cs="Arial" w:eastAsia="Arial" w:hAnsi="Arial"/>
          <w:sz w:val="9"/>
          <w:szCs w:val="9"/>
          <w:color w:val="auto"/>
        </w:rPr>
      </w:pPr>
      <w:r>
        <w:rPr>
          <w:rFonts w:ascii="Arial" w:cs="Arial" w:eastAsia="Arial" w:hAnsi="Arial"/>
          <w:sz w:val="14"/>
          <w:szCs w:val="14"/>
          <w:color w:val="auto"/>
        </w:rPr>
        <w:t>Beginning with the period ended December 31, 2023, “Change in expected credit enhancement recoveries” as presented in this table includes activity associated with both active and inactive loans. Previously, this presentation only included active loans. Prior periods have been updated to conform to the current period presentation.</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5" w:name="page16"/>
    <w:bookmarkEnd w:id="15"/>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 Benefit (Provision) for Credit Losses</w:t>
      </w:r>
    </w:p>
    <w:p>
      <w:pPr>
        <w:spacing w:after="0" w:line="80"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Our single-family benefit for credit losses in the second quarter and first half of 2024 was primarily driven by a benefit from actual and forecasted home price growth, partially offset by a provision from changes in loan activity, as described below:</w:t>
      </w:r>
    </w:p>
    <w:p>
      <w:pPr>
        <w:spacing w:after="0" w:line="15" w:lineRule="exact"/>
        <w:rPr>
          <w:sz w:val="20"/>
          <w:szCs w:val="20"/>
          <w:color w:val="auto"/>
        </w:rPr>
      </w:pPr>
    </w:p>
    <w:p>
      <w:pPr>
        <w:ind w:left="620" w:right="100" w:hanging="307"/>
        <w:spacing w:after="0" w:line="263" w:lineRule="auto"/>
        <w:tabs>
          <w:tab w:leader="none" w:pos="612"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actual and forecasted home price growth. </w:t>
      </w:r>
      <w:r>
        <w:rPr>
          <w:rFonts w:ascii="Arial" w:cs="Arial" w:eastAsia="Arial" w:hAnsi="Arial"/>
          <w:sz w:val="16"/>
          <w:szCs w:val="16"/>
          <w:color w:val="auto"/>
        </w:rPr>
        <w:t>During the second quarter and first half of 2024, actual home prices appreciated more than</w:t>
      </w:r>
      <w:r>
        <w:rPr>
          <w:rFonts w:ascii="Arial" w:cs="Arial" w:eastAsia="Arial" w:hAnsi="Arial"/>
          <w:sz w:val="16"/>
          <w:szCs w:val="16"/>
          <w:i w:val="1"/>
          <w:iCs w:val="1"/>
          <w:color w:val="auto"/>
        </w:rPr>
        <w:t xml:space="preserve"> </w:t>
      </w:r>
      <w:r>
        <w:rPr>
          <w:rFonts w:ascii="Arial" w:cs="Arial" w:eastAsia="Arial" w:hAnsi="Arial"/>
          <w:sz w:val="16"/>
          <w:szCs w:val="16"/>
          <w:color w:val="auto"/>
        </w:rPr>
        <w:t>originally projected and our forecast of future home prices also improved. Higher home prices decrease the likelihood that loans will default and reduce the amount of losses on loans that do default, which impacts our estimate of losses and ultimately reduces our loss reserves and provision for credit losses. See “Key Market Economic Indicators” in our 2023 Form 10-K for additional information about how home prices affect our credit loss estimates. See “Key Market Economic Indicators” in this report for a discussion of home price growth and our home price forecast. Also see “Critical Accounting Estimates” in this report for more information about our home price forecast.</w:t>
      </w:r>
    </w:p>
    <w:p>
      <w:pPr>
        <w:spacing w:after="0" w:line="40" w:lineRule="exact"/>
        <w:rPr>
          <w:rFonts w:ascii="Arial" w:cs="Arial" w:eastAsia="Arial" w:hAnsi="Arial"/>
          <w:sz w:val="16"/>
          <w:szCs w:val="16"/>
          <w:color w:val="auto"/>
        </w:rPr>
      </w:pPr>
    </w:p>
    <w:p>
      <w:pPr>
        <w:ind w:left="620" w:right="80" w:hanging="307"/>
        <w:spacing w:after="0" w:line="271" w:lineRule="auto"/>
        <w:tabs>
          <w:tab w:leader="none" w:pos="612"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Provision from changes in loan activity. </w:t>
      </w:r>
      <w:r>
        <w:rPr>
          <w:rFonts w:ascii="Arial" w:cs="Arial" w:eastAsia="Arial" w:hAnsi="Arial"/>
          <w:sz w:val="16"/>
          <w:szCs w:val="16"/>
          <w:color w:val="auto"/>
        </w:rPr>
        <w:t>This includes provision on newly acquired loans and was primarily driven by the credit risk profile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single-family acquisitions for the second quarter and first half of 2024, which primarily consisted of purchase loans. Purchase loans generally have higher origination loan-to-value (“LTV”) ratios than refinance loans; therefore, purchase loans have a higher estimated risk of default and loss severity in the allowance than refinance loans and a correspondingly higher credit loss provision at the time of acquisition.</w:t>
      </w:r>
    </w:p>
    <w:p>
      <w:pPr>
        <w:spacing w:after="0" w:line="59"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Our single-family benefit for credit losses in the second quarter of 2023 and first half of 2023 was primarily driven by a benefit from actual and forecasted home price growth, partially offset by a provision from changes in loan activity, as described in more detail below:</w:t>
      </w:r>
    </w:p>
    <w:p>
      <w:pPr>
        <w:spacing w:after="0" w:line="15" w:lineRule="exact"/>
        <w:rPr>
          <w:sz w:val="20"/>
          <w:szCs w:val="20"/>
          <w:color w:val="auto"/>
        </w:rPr>
      </w:pPr>
    </w:p>
    <w:p>
      <w:pPr>
        <w:ind w:left="620" w:right="400" w:hanging="307"/>
        <w:spacing w:after="0" w:line="281" w:lineRule="auto"/>
        <w:tabs>
          <w:tab w:leader="none" w:pos="612"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actual and forecasted home price growth. </w:t>
      </w:r>
      <w:r>
        <w:rPr>
          <w:rFonts w:ascii="Arial" w:cs="Arial" w:eastAsia="Arial" w:hAnsi="Arial"/>
          <w:sz w:val="16"/>
          <w:szCs w:val="16"/>
          <w:color w:val="auto"/>
        </w:rPr>
        <w:t>During the second quarter and first half of 2023, we observed strong actual home price</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In addition, our updated 2023 home price forecast changed from our prior estimate, resulting in a shift to positive home price appreciation for the year.</w:t>
      </w:r>
    </w:p>
    <w:p>
      <w:pPr>
        <w:spacing w:after="0" w:line="24" w:lineRule="exact"/>
        <w:rPr>
          <w:rFonts w:ascii="Arial" w:cs="Arial" w:eastAsia="Arial" w:hAnsi="Arial"/>
          <w:sz w:val="16"/>
          <w:szCs w:val="16"/>
          <w:color w:val="auto"/>
        </w:rPr>
      </w:pPr>
    </w:p>
    <w:p>
      <w:pPr>
        <w:ind w:left="620" w:hanging="307"/>
        <w:spacing w:after="0" w:line="272" w:lineRule="auto"/>
        <w:tabs>
          <w:tab w:leader="none" w:pos="612"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Provision from changes in loan activity. </w:t>
      </w:r>
      <w:r>
        <w:rPr>
          <w:rFonts w:ascii="Arial" w:cs="Arial" w:eastAsia="Arial" w:hAnsi="Arial"/>
          <w:sz w:val="16"/>
          <w:szCs w:val="16"/>
          <w:color w:val="auto"/>
        </w:rPr>
        <w:t>This includes provision on newly acquired loans and was primarily driven by the credit risk profile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single-family acquisitions for the second quarter and first half of 2023, as described in our quarterly report on Form 10-Q for the quarter ended June 30, 2023.</w:t>
      </w:r>
    </w:p>
    <w:p>
      <w:pPr>
        <w:spacing w:after="0" w:line="71"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 Benefit (Provision) for Credit Losses</w:t>
      </w:r>
    </w:p>
    <w:p>
      <w:pPr>
        <w:spacing w:after="0" w:line="106"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Our multifamily provision for credit losses in the second quarter of 2024 was primarily driven by continued declines in estimated actual and near-term projected multifamily property values and the impact of new 30-day loan delinquencies in our multifamily guaranty book of business, including provision attributable to a portfolio of approximately $600 million of adjustable-rate conventional loans that we anticipate will become seriously delinquent in the near term.</w:t>
      </w:r>
    </w:p>
    <w:p>
      <w:pPr>
        <w:spacing w:after="0" w:line="33" w:lineRule="exact"/>
        <w:rPr>
          <w:sz w:val="20"/>
          <w:szCs w:val="20"/>
          <w:color w:val="auto"/>
        </w:rPr>
      </w:pPr>
    </w:p>
    <w:p>
      <w:pPr>
        <w:jc w:val="both"/>
        <w:ind w:right="100"/>
        <w:spacing w:after="0" w:line="262" w:lineRule="auto"/>
        <w:rPr>
          <w:sz w:val="20"/>
          <w:szCs w:val="20"/>
          <w:color w:val="auto"/>
        </w:rPr>
      </w:pPr>
      <w:r>
        <w:rPr>
          <w:rFonts w:ascii="Arial" w:cs="Arial" w:eastAsia="Arial" w:hAnsi="Arial"/>
          <w:sz w:val="16"/>
          <w:szCs w:val="16"/>
          <w:color w:val="auto"/>
        </w:rPr>
        <w:t>Our multifamily provision for credit losses in the first half of 2024 was primarily driven by declines in estimated actual and near-term projected multifamily property values, the impact of new 30-day loan delinquencies in our multifamily guaranty book of business, and increases in actual and projected interest rates. Provision related to estimated actual and near-term projected multifamily property values, along with the impact of offsetting factors, is presented in “actual and projected economic data” in the table above. Provision related to changes in loan delinquencies is presented in “changes in loan activity” in the table above.</w:t>
      </w:r>
    </w:p>
    <w:p>
      <w:pPr>
        <w:spacing w:after="0" w:line="53" w:lineRule="exact"/>
        <w:rPr>
          <w:sz w:val="20"/>
          <w:szCs w:val="20"/>
          <w:color w:val="auto"/>
        </w:rPr>
      </w:pPr>
    </w:p>
    <w:p>
      <w:pPr>
        <w:jc w:val="both"/>
        <w:ind w:right="200"/>
        <w:spacing w:after="0" w:line="272" w:lineRule="auto"/>
        <w:rPr>
          <w:sz w:val="20"/>
          <w:szCs w:val="20"/>
          <w:color w:val="auto"/>
        </w:rPr>
      </w:pPr>
      <w:r>
        <w:rPr>
          <w:rFonts w:ascii="Arial" w:cs="Arial" w:eastAsia="Arial" w:hAnsi="Arial"/>
          <w:sz w:val="16"/>
          <w:szCs w:val="16"/>
          <w:color w:val="auto"/>
        </w:rPr>
        <w:t>Our multifamily provision for credit losses for the second quarter and first half of 2023 was primarily driven by decreases in estimated multifamily property values. This resulted in higher estimated LTV ratios on the loans in our multifamily guaranty book of business, which increased our estimate of expected credit losses on these loans. This provision is included in the “actual and projected economic data” line item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13</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6" w:name="page17"/>
    <w:bookmarkEnd w:id="16"/>
    <w:p>
      <w:pPr>
        <w:ind w:left="8320"/>
        <w:spacing w:after="0"/>
        <w:rPr>
          <w:sz w:val="20"/>
          <w:szCs w:val="20"/>
          <w:color w:val="auto"/>
        </w:rPr>
      </w:pPr>
      <w:r>
        <w:rPr>
          <w:rFonts w:ascii="Arial" w:cs="Arial" w:eastAsia="Arial" w:hAnsi="Arial"/>
          <w:sz w:val="14"/>
          <w:szCs w:val="14"/>
          <w:color w:val="05314D"/>
        </w:rPr>
        <w:t>MD&amp;A | 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This section discusses our condensed consolidated balance sheets and should be read together with our condensed consolidated financial statements and the accompanying notes.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Balance Sheets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6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60" w:type="dxa"/>
            <w:vAlign w:val="bottom"/>
            <w:tcBorders>
              <w:top w:val="single" w:sz="8" w:color="2C6937"/>
              <w:bottom w:val="single" w:sz="8" w:color="2C6937"/>
            </w:tcBorders>
          </w:tcPr>
          <w:p>
            <w:pPr>
              <w:spacing w:after="0"/>
              <w:rPr>
                <w:sz w:val="17"/>
                <w:szCs w:val="17"/>
                <w:color w:val="auto"/>
              </w:rPr>
            </w:pPr>
          </w:p>
        </w:tc>
        <w:tc>
          <w:tcPr>
            <w:tcW w:w="1620" w:type="dxa"/>
            <w:vAlign w:val="bottom"/>
            <w:tcBorders>
              <w:top w:val="single" w:sz="8" w:color="2C6937"/>
              <w:bottom w:val="single" w:sz="8" w:color="2C6937"/>
            </w:tcBorders>
            <w:gridSpan w:val="3"/>
          </w:tcPr>
          <w:p>
            <w:pPr>
              <w:ind w:left="1040"/>
              <w:spacing w:after="0"/>
              <w:rPr>
                <w:sz w:val="20"/>
                <w:szCs w:val="20"/>
                <w:color w:val="auto"/>
              </w:rPr>
            </w:pPr>
            <w:r>
              <w:rPr>
                <w:rFonts w:ascii="Arial" w:cs="Arial" w:eastAsia="Arial" w:hAnsi="Arial"/>
                <w:sz w:val="14"/>
                <w:szCs w:val="14"/>
                <w:b w:val="1"/>
                <w:bCs w:val="1"/>
                <w:color w:val="auto"/>
              </w:rPr>
              <w:t>As of</w:t>
            </w:r>
          </w:p>
        </w:tc>
        <w:tc>
          <w:tcPr>
            <w:tcW w:w="98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40" w:type="dxa"/>
            <w:vAlign w:val="bottom"/>
            <w:tcBorders>
              <w:top w:val="single" w:sz="8" w:color="2C6937"/>
            </w:tcBorders>
          </w:tcPr>
          <w:p>
            <w:pPr>
              <w:spacing w:after="0"/>
              <w:rPr>
                <w:sz w:val="17"/>
                <w:szCs w:val="17"/>
                <w:color w:val="auto"/>
              </w:rPr>
            </w:pPr>
          </w:p>
        </w:tc>
        <w:tc>
          <w:tcPr>
            <w:tcW w:w="108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26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June 30, 2024</w:t>
            </w:r>
          </w:p>
        </w:tc>
        <w:tc>
          <w:tcPr>
            <w:tcW w:w="1440" w:type="dxa"/>
            <w:vAlign w:val="bottom"/>
            <w:tcBorders>
              <w:bottom w:val="single" w:sz="8" w:color="2C6937"/>
            </w:tcBorders>
            <w:gridSpan w:val="3"/>
          </w:tcPr>
          <w:p>
            <w:pPr>
              <w:ind w:left="60"/>
              <w:spacing w:after="0"/>
              <w:rPr>
                <w:sz w:val="20"/>
                <w:szCs w:val="20"/>
                <w:color w:val="auto"/>
              </w:rPr>
            </w:pPr>
            <w:r>
              <w:rPr>
                <w:rFonts w:ascii="Arial" w:cs="Arial" w:eastAsia="Arial" w:hAnsi="Arial"/>
                <w:sz w:val="14"/>
                <w:szCs w:val="14"/>
                <w:b w:val="1"/>
                <w:bCs w:val="1"/>
                <w:color w:val="auto"/>
              </w:rPr>
              <w:t>December 31, 2023</w:t>
            </w:r>
          </w:p>
        </w:tc>
        <w:tc>
          <w:tcPr>
            <w:tcW w:w="24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5"/>
        </w:trPr>
        <w:tc>
          <w:tcPr>
            <w:tcW w:w="6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60" w:type="dxa"/>
            <w:vAlign w:val="bottom"/>
            <w:gridSpan w:val="2"/>
          </w:tcPr>
          <w:p>
            <w:pPr>
              <w:ind w:left="20"/>
              <w:spacing w:after="0"/>
              <w:rPr>
                <w:sz w:val="20"/>
                <w:szCs w:val="20"/>
                <w:color w:val="auto"/>
              </w:rPr>
            </w:pPr>
            <w:r>
              <w:rPr>
                <w:rFonts w:ascii="Arial" w:cs="Arial" w:eastAsia="Arial" w:hAnsi="Arial"/>
                <w:sz w:val="15"/>
                <w:szCs w:val="15"/>
                <w:b w:val="1"/>
                <w:bCs w:val="1"/>
                <w:color w:val="auto"/>
              </w:rPr>
              <w:t>Assets</w:t>
            </w: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41,911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Cash and cash equivalents</w:t>
            </w:r>
          </w:p>
        </w:tc>
        <w:tc>
          <w:tcPr>
            <w:tcW w:w="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35,817</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6,094</w:t>
            </w:r>
          </w:p>
        </w:tc>
        <w:tc>
          <w:tcPr>
            <w:tcW w:w="0" w:type="dxa"/>
            <w:vAlign w:val="bottom"/>
          </w:tcPr>
          <w:p>
            <w:pPr>
              <w:spacing w:after="0"/>
              <w:rPr>
                <w:sz w:val="1"/>
                <w:szCs w:val="1"/>
                <w:color w:val="auto"/>
              </w:rPr>
            </w:pPr>
          </w:p>
        </w:tc>
      </w:tr>
      <w:tr>
        <w:trPr>
          <w:trHeight w:val="206"/>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Restricted cash and cash equivalents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36,402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32,889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3,513</w:t>
            </w:r>
          </w:p>
        </w:tc>
        <w:tc>
          <w:tcPr>
            <w:tcW w:w="0" w:type="dxa"/>
            <w:vAlign w:val="bottom"/>
          </w:tcPr>
          <w:p>
            <w:pPr>
              <w:spacing w:after="0"/>
              <w:rPr>
                <w:sz w:val="1"/>
                <w:szCs w:val="1"/>
                <w:color w:val="auto"/>
              </w:rPr>
            </w:pPr>
          </w:p>
        </w:tc>
      </w:tr>
      <w:tr>
        <w:trPr>
          <w:trHeight w:val="206"/>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Securities purchased under agreements to resell</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27,650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30,700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(3,050)</w:t>
            </w:r>
          </w:p>
        </w:tc>
        <w:tc>
          <w:tcPr>
            <w:tcW w:w="0" w:type="dxa"/>
            <w:vAlign w:val="bottom"/>
          </w:tcPr>
          <w:p>
            <w:pPr>
              <w:spacing w:after="0"/>
              <w:rPr>
                <w:sz w:val="1"/>
                <w:szCs w:val="1"/>
                <w:color w:val="auto"/>
              </w:rPr>
            </w:pPr>
          </w:p>
        </w:tc>
      </w:tr>
      <w:tr>
        <w:trPr>
          <w:trHeight w:val="208"/>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Investments in securities, at fair value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49,899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53,116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(3,217)</w:t>
            </w:r>
          </w:p>
        </w:tc>
        <w:tc>
          <w:tcPr>
            <w:tcW w:w="0" w:type="dxa"/>
            <w:vAlign w:val="bottom"/>
          </w:tcPr>
          <w:p>
            <w:pPr>
              <w:spacing w:after="0"/>
              <w:rPr>
                <w:sz w:val="1"/>
                <w:szCs w:val="1"/>
                <w:color w:val="auto"/>
              </w:rPr>
            </w:pPr>
          </w:p>
        </w:tc>
      </w:tr>
      <w:tr>
        <w:trPr>
          <w:trHeight w:val="204"/>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Mortgage loans: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6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49,832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50,325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(493)</w:t>
            </w:r>
          </w:p>
        </w:tc>
        <w:tc>
          <w:tcPr>
            <w:tcW w:w="0" w:type="dxa"/>
            <w:vAlign w:val="bottom"/>
          </w:tcPr>
          <w:p>
            <w:pPr>
              <w:spacing w:after="0"/>
              <w:rPr>
                <w:sz w:val="1"/>
                <w:szCs w:val="1"/>
                <w:color w:val="auto"/>
              </w:rPr>
            </w:pPr>
          </w:p>
        </w:tc>
      </w:tr>
      <w:tr>
        <w:trPr>
          <w:trHeight w:val="206"/>
        </w:trPr>
        <w:tc>
          <w:tcPr>
            <w:tcW w:w="706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4,087,408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4,094,036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(6,628)</w:t>
            </w:r>
          </w:p>
        </w:tc>
        <w:tc>
          <w:tcPr>
            <w:tcW w:w="0" w:type="dxa"/>
            <w:vAlign w:val="bottom"/>
          </w:tcPr>
          <w:p>
            <w:pPr>
              <w:spacing w:after="0"/>
              <w:rPr>
                <w:sz w:val="1"/>
                <w:szCs w:val="1"/>
                <w:color w:val="auto"/>
              </w:rPr>
            </w:pPr>
          </w:p>
        </w:tc>
      </w:tr>
      <w:tr>
        <w:trPr>
          <w:trHeight w:val="208"/>
        </w:trPr>
        <w:tc>
          <w:tcPr>
            <w:tcW w:w="6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Allowance for loan losses</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(8,026)</w:t>
            </w:r>
          </w:p>
        </w:tc>
        <w:tc>
          <w:tcPr>
            <w:tcW w:w="100" w:type="dxa"/>
            <w:vAlign w:val="bottom"/>
          </w:tcPr>
          <w:p>
            <w:pPr>
              <w:spacing w:after="0"/>
              <w:rPr>
                <w:sz w:val="18"/>
                <w:szCs w:val="18"/>
                <w:color w:val="auto"/>
              </w:rPr>
            </w:pPr>
          </w:p>
        </w:tc>
        <w:tc>
          <w:tcPr>
            <w:tcW w:w="36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(8,730)</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704</w:t>
            </w:r>
          </w:p>
        </w:tc>
        <w:tc>
          <w:tcPr>
            <w:tcW w:w="0" w:type="dxa"/>
            <w:vAlign w:val="bottom"/>
          </w:tcPr>
          <w:p>
            <w:pPr>
              <w:spacing w:after="0"/>
              <w:rPr>
                <w:sz w:val="1"/>
                <w:szCs w:val="1"/>
                <w:color w:val="auto"/>
              </w:rPr>
            </w:pPr>
          </w:p>
        </w:tc>
      </w:tr>
      <w:tr>
        <w:trPr>
          <w:trHeight w:val="198"/>
        </w:trPr>
        <w:tc>
          <w:tcPr>
            <w:tcW w:w="7060" w:type="dxa"/>
            <w:vAlign w:val="bottom"/>
            <w:gridSpan w:val="2"/>
          </w:tcPr>
          <w:p>
            <w:pPr>
              <w:ind w:left="180"/>
              <w:spacing w:after="0"/>
              <w:rPr>
                <w:sz w:val="20"/>
                <w:szCs w:val="20"/>
                <w:color w:val="auto"/>
              </w:rPr>
            </w:pPr>
            <w:r>
              <w:rPr>
                <w:rFonts w:ascii="Arial" w:cs="Arial" w:eastAsia="Arial" w:hAnsi="Arial"/>
                <w:sz w:val="15"/>
                <w:szCs w:val="15"/>
                <w:color w:val="auto"/>
              </w:rPr>
              <w:t>Mortgage loans, net of allowance for loan losses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4,129,214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4,135,631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(6,417)</w:t>
            </w:r>
          </w:p>
        </w:tc>
        <w:tc>
          <w:tcPr>
            <w:tcW w:w="0" w:type="dxa"/>
            <w:vAlign w:val="bottom"/>
          </w:tcPr>
          <w:p>
            <w:pPr>
              <w:spacing w:after="0"/>
              <w:rPr>
                <w:sz w:val="1"/>
                <w:szCs w:val="1"/>
                <w:color w:val="auto"/>
              </w:rPr>
            </w:pPr>
          </w:p>
        </w:tc>
      </w:tr>
      <w:tr>
        <w:trPr>
          <w:trHeight w:val="206"/>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Deferred tax assets, net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11,036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11,681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(645)</w:t>
            </w:r>
          </w:p>
        </w:tc>
        <w:tc>
          <w:tcPr>
            <w:tcW w:w="0" w:type="dxa"/>
            <w:vAlign w:val="bottom"/>
          </w:tcPr>
          <w:p>
            <w:pPr>
              <w:spacing w:after="0"/>
              <w:rPr>
                <w:sz w:val="1"/>
                <w:szCs w:val="1"/>
                <w:color w:val="auto"/>
              </w:rPr>
            </w:pPr>
          </w:p>
        </w:tc>
      </w:tr>
      <w:tr>
        <w:trPr>
          <w:trHeight w:val="208"/>
        </w:trPr>
        <w:tc>
          <w:tcPr>
            <w:tcW w:w="6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27,781</w:t>
            </w:r>
          </w:p>
        </w:tc>
        <w:tc>
          <w:tcPr>
            <w:tcW w:w="100" w:type="dxa"/>
            <w:vAlign w:val="bottom"/>
          </w:tcPr>
          <w:p>
            <w:pPr>
              <w:spacing w:after="0"/>
              <w:rPr>
                <w:sz w:val="18"/>
                <w:szCs w:val="18"/>
                <w:color w:val="auto"/>
              </w:rPr>
            </w:pPr>
          </w:p>
        </w:tc>
        <w:tc>
          <w:tcPr>
            <w:tcW w:w="36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25,603</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2,178</w:t>
            </w:r>
          </w:p>
        </w:tc>
        <w:tc>
          <w:tcPr>
            <w:tcW w:w="0" w:type="dxa"/>
            <w:vAlign w:val="bottom"/>
          </w:tcPr>
          <w:p>
            <w:pPr>
              <w:spacing w:after="0"/>
              <w:rPr>
                <w:sz w:val="1"/>
                <w:szCs w:val="1"/>
                <w:color w:val="auto"/>
              </w:rPr>
            </w:pPr>
          </w:p>
        </w:tc>
      </w:tr>
      <w:tr>
        <w:trPr>
          <w:trHeight w:val="199"/>
        </w:trPr>
        <w:tc>
          <w:tcPr>
            <w:tcW w:w="69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Total assets</w:t>
            </w:r>
          </w:p>
        </w:tc>
        <w:tc>
          <w:tcPr>
            <w:tcW w:w="100" w:type="dxa"/>
            <w:vAlign w:val="bottom"/>
          </w:tcPr>
          <w:p>
            <w:pPr>
              <w:spacing w:after="0"/>
              <w:rPr>
                <w:sz w:val="17"/>
                <w:szCs w:val="17"/>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4,323,893</w:t>
            </w:r>
          </w:p>
        </w:tc>
        <w:tc>
          <w:tcPr>
            <w:tcW w:w="100" w:type="dxa"/>
            <w:vAlign w:val="bottom"/>
          </w:tcPr>
          <w:p>
            <w:pPr>
              <w:spacing w:after="0"/>
              <w:rPr>
                <w:sz w:val="17"/>
                <w:szCs w:val="17"/>
                <w:color w:val="auto"/>
              </w:rPr>
            </w:pPr>
          </w:p>
        </w:tc>
        <w:tc>
          <w:tcPr>
            <w:tcW w:w="3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4,325,437</w:t>
            </w:r>
          </w:p>
        </w:tc>
        <w:tc>
          <w:tcPr>
            <w:tcW w:w="100" w:type="dxa"/>
            <w:vAlign w:val="bottom"/>
          </w:tcPr>
          <w:p>
            <w:pPr>
              <w:spacing w:after="0"/>
              <w:rPr>
                <w:sz w:val="17"/>
                <w:szCs w:val="17"/>
                <w:color w:val="auto"/>
              </w:rPr>
            </w:pPr>
          </w:p>
        </w:tc>
        <w:tc>
          <w:tcPr>
            <w:tcW w:w="240" w:type="dxa"/>
            <w:vAlign w:val="bottom"/>
            <w:tcBorders>
              <w:bottom w:val="single" w:sz="8" w:color="2C6937"/>
            </w:tcBorders>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(1,544)</w:t>
            </w:r>
          </w:p>
        </w:tc>
        <w:tc>
          <w:tcPr>
            <w:tcW w:w="0" w:type="dxa"/>
            <w:vAlign w:val="bottom"/>
          </w:tcPr>
          <w:p>
            <w:pPr>
              <w:spacing w:after="0"/>
              <w:rPr>
                <w:sz w:val="1"/>
                <w:szCs w:val="1"/>
                <w:color w:val="auto"/>
              </w:rPr>
            </w:pPr>
          </w:p>
        </w:tc>
      </w:tr>
      <w:tr>
        <w:trPr>
          <w:trHeight w:val="20"/>
        </w:trPr>
        <w:tc>
          <w:tcPr>
            <w:tcW w:w="7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960" w:type="dxa"/>
            <w:vAlign w:val="bottom"/>
            <w:tcBorders>
              <w:top w:val="single" w:sz="8" w:color="2C6937"/>
            </w:tcBorders>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0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16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2C6937"/>
            </w:tcBorders>
          </w:tcPr>
          <w:p>
            <w:pPr>
              <w:spacing w:after="0"/>
              <w:rPr>
                <w:sz w:val="17"/>
                <w:szCs w:val="17"/>
                <w:color w:val="auto"/>
              </w:rPr>
            </w:pPr>
          </w:p>
        </w:tc>
        <w:tc>
          <w:tcPr>
            <w:tcW w:w="98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2C6937"/>
            </w:tcBorders>
          </w:tcPr>
          <w:p>
            <w:pPr>
              <w:spacing w:after="0"/>
              <w:rPr>
                <w:sz w:val="17"/>
                <w:szCs w:val="17"/>
                <w:color w:val="auto"/>
              </w:rPr>
            </w:pPr>
          </w:p>
        </w:tc>
        <w:tc>
          <w:tcPr>
            <w:tcW w:w="108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Debt:</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6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118,543</w:t>
            </w:r>
          </w:p>
        </w:tc>
        <w:tc>
          <w:tcPr>
            <w:tcW w:w="10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124,065</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(5,522)</w:t>
            </w:r>
          </w:p>
        </w:tc>
        <w:tc>
          <w:tcPr>
            <w:tcW w:w="0" w:type="dxa"/>
            <w:vAlign w:val="bottom"/>
          </w:tcPr>
          <w:p>
            <w:pPr>
              <w:spacing w:after="0"/>
              <w:rPr>
                <w:sz w:val="1"/>
                <w:szCs w:val="1"/>
                <w:color w:val="auto"/>
              </w:rPr>
            </w:pPr>
          </w:p>
        </w:tc>
      </w:tr>
      <w:tr>
        <w:trPr>
          <w:trHeight w:val="206"/>
        </w:trPr>
        <w:tc>
          <w:tcPr>
            <w:tcW w:w="706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4,094,421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4,098,653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(4,232)</w:t>
            </w:r>
          </w:p>
        </w:tc>
        <w:tc>
          <w:tcPr>
            <w:tcW w:w="0" w:type="dxa"/>
            <w:vAlign w:val="bottom"/>
          </w:tcPr>
          <w:p>
            <w:pPr>
              <w:spacing w:after="0"/>
              <w:rPr>
                <w:sz w:val="1"/>
                <w:szCs w:val="1"/>
                <w:color w:val="auto"/>
              </w:rPr>
            </w:pPr>
          </w:p>
        </w:tc>
      </w:tr>
      <w:tr>
        <w:trPr>
          <w:trHeight w:val="208"/>
        </w:trPr>
        <w:tc>
          <w:tcPr>
            <w:tcW w:w="6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liabilities</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24,446</w:t>
            </w:r>
          </w:p>
        </w:tc>
        <w:tc>
          <w:tcPr>
            <w:tcW w:w="100" w:type="dxa"/>
            <w:vAlign w:val="bottom"/>
          </w:tcPr>
          <w:p>
            <w:pPr>
              <w:spacing w:after="0"/>
              <w:rPr>
                <w:sz w:val="18"/>
                <w:szCs w:val="18"/>
                <w:color w:val="auto"/>
              </w:rPr>
            </w:pPr>
          </w:p>
        </w:tc>
        <w:tc>
          <w:tcPr>
            <w:tcW w:w="36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25,037</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(591)</w:t>
            </w:r>
          </w:p>
        </w:tc>
        <w:tc>
          <w:tcPr>
            <w:tcW w:w="0" w:type="dxa"/>
            <w:vAlign w:val="bottom"/>
          </w:tcPr>
          <w:p>
            <w:pPr>
              <w:spacing w:after="0"/>
              <w:rPr>
                <w:sz w:val="1"/>
                <w:szCs w:val="1"/>
                <w:color w:val="auto"/>
              </w:rPr>
            </w:pPr>
          </w:p>
        </w:tc>
      </w:tr>
      <w:tr>
        <w:trPr>
          <w:trHeight w:val="200"/>
        </w:trPr>
        <w:tc>
          <w:tcPr>
            <w:tcW w:w="7060" w:type="dxa"/>
            <w:vAlign w:val="bottom"/>
            <w:gridSpan w:val="2"/>
          </w:tcPr>
          <w:p>
            <w:pPr>
              <w:ind w:left="140"/>
              <w:spacing w:after="0"/>
              <w:rPr>
                <w:sz w:val="20"/>
                <w:szCs w:val="20"/>
                <w:color w:val="auto"/>
              </w:rPr>
            </w:pPr>
            <w:r>
              <w:rPr>
                <w:rFonts w:ascii="Arial" w:cs="Arial" w:eastAsia="Arial" w:hAnsi="Arial"/>
                <w:sz w:val="15"/>
                <w:szCs w:val="15"/>
                <w:color w:val="auto"/>
              </w:rPr>
              <w:t>Total liabilities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4,237,410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4,247,755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(10,345)</w:t>
            </w:r>
          </w:p>
        </w:tc>
        <w:tc>
          <w:tcPr>
            <w:tcW w:w="0" w:type="dxa"/>
            <w:vAlign w:val="bottom"/>
          </w:tcPr>
          <w:p>
            <w:pPr>
              <w:spacing w:after="0"/>
              <w:rPr>
                <w:sz w:val="1"/>
                <w:szCs w:val="1"/>
                <w:color w:val="auto"/>
              </w:rPr>
            </w:pPr>
          </w:p>
        </w:tc>
      </w:tr>
      <w:tr>
        <w:trPr>
          <w:trHeight w:val="204"/>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Fannie Mae stockholders’ equity:</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60" w:type="dxa"/>
            <w:vAlign w:val="bottom"/>
            <w:gridSpan w:val="2"/>
          </w:tcPr>
          <w:p>
            <w:pPr>
              <w:ind w:left="180"/>
              <w:spacing w:after="0"/>
              <w:rPr>
                <w:sz w:val="20"/>
                <w:szCs w:val="20"/>
                <w:color w:val="auto"/>
              </w:rPr>
            </w:pPr>
            <w:r>
              <w:rPr>
                <w:rFonts w:ascii="Arial" w:cs="Arial" w:eastAsia="Arial" w:hAnsi="Arial"/>
                <w:sz w:val="15"/>
                <w:szCs w:val="15"/>
                <w:color w:val="auto"/>
              </w:rPr>
              <w:t>Senior preferred stock</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120,836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120,836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69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 net deficit</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(34,353)</w:t>
            </w:r>
          </w:p>
        </w:tc>
        <w:tc>
          <w:tcPr>
            <w:tcW w:w="100" w:type="dxa"/>
            <w:vAlign w:val="bottom"/>
          </w:tcPr>
          <w:p>
            <w:pPr>
              <w:spacing w:after="0"/>
              <w:rPr>
                <w:sz w:val="18"/>
                <w:szCs w:val="18"/>
                <w:color w:val="auto"/>
              </w:rPr>
            </w:pPr>
          </w:p>
        </w:tc>
        <w:tc>
          <w:tcPr>
            <w:tcW w:w="36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(43,154)</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8,801</w:t>
            </w:r>
          </w:p>
        </w:tc>
        <w:tc>
          <w:tcPr>
            <w:tcW w:w="0" w:type="dxa"/>
            <w:vAlign w:val="bottom"/>
          </w:tcPr>
          <w:p>
            <w:pPr>
              <w:spacing w:after="0"/>
              <w:rPr>
                <w:sz w:val="1"/>
                <w:szCs w:val="1"/>
                <w:color w:val="auto"/>
              </w:rPr>
            </w:pPr>
          </w:p>
        </w:tc>
      </w:tr>
      <w:tr>
        <w:trPr>
          <w:trHeight w:val="199"/>
        </w:trPr>
        <w:tc>
          <w:tcPr>
            <w:tcW w:w="69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Total equity</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86,483</w:t>
            </w:r>
          </w:p>
        </w:tc>
        <w:tc>
          <w:tcPr>
            <w:tcW w:w="100" w:type="dxa"/>
            <w:vAlign w:val="bottom"/>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77,682</w:t>
            </w:r>
          </w:p>
        </w:tc>
        <w:tc>
          <w:tcPr>
            <w:tcW w:w="10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8,801</w:t>
            </w:r>
          </w:p>
        </w:tc>
        <w:tc>
          <w:tcPr>
            <w:tcW w:w="0" w:type="dxa"/>
            <w:vAlign w:val="bottom"/>
          </w:tcPr>
          <w:p>
            <w:pPr>
              <w:spacing w:after="0"/>
              <w:rPr>
                <w:sz w:val="1"/>
                <w:szCs w:val="1"/>
                <w:color w:val="auto"/>
              </w:rPr>
            </w:pPr>
          </w:p>
        </w:tc>
      </w:tr>
      <w:tr>
        <w:trPr>
          <w:trHeight w:val="199"/>
        </w:trPr>
        <w:tc>
          <w:tcPr>
            <w:tcW w:w="7060" w:type="dxa"/>
            <w:vAlign w:val="bottom"/>
            <w:gridSpan w:val="2"/>
          </w:tcPr>
          <w:p>
            <w:pPr>
              <w:ind w:left="320"/>
              <w:spacing w:after="0"/>
              <w:rPr>
                <w:sz w:val="20"/>
                <w:szCs w:val="20"/>
                <w:color w:val="auto"/>
              </w:rPr>
            </w:pPr>
            <w:r>
              <w:rPr>
                <w:rFonts w:ascii="Arial" w:cs="Arial" w:eastAsia="Arial" w:hAnsi="Arial"/>
                <w:sz w:val="15"/>
                <w:szCs w:val="15"/>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4,323,893</w:t>
            </w:r>
          </w:p>
        </w:tc>
        <w:tc>
          <w:tcPr>
            <w:tcW w:w="10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4,325,437</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(1,544)</w:t>
            </w:r>
          </w:p>
        </w:tc>
        <w:tc>
          <w:tcPr>
            <w:tcW w:w="0" w:type="dxa"/>
            <w:vAlign w:val="bottom"/>
          </w:tcPr>
          <w:p>
            <w:pPr>
              <w:spacing w:after="0"/>
              <w:rPr>
                <w:sz w:val="1"/>
                <w:szCs w:val="1"/>
                <w:color w:val="auto"/>
              </w:rPr>
            </w:pPr>
          </w:p>
        </w:tc>
      </w:tr>
      <w:tr>
        <w:trPr>
          <w:trHeight w:val="20"/>
        </w:trPr>
        <w:tc>
          <w:tcPr>
            <w:tcW w:w="6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Cash and Cash Equivalents</w:t>
      </w:r>
    </w:p>
    <w:p>
      <w:pPr>
        <w:spacing w:after="0" w:line="6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Cash and cash equivalents increased from December 31, 2023 to June 30, 2024 primarily driven by funds being invested in overnight reverse repurchase agreements rather than funds being invested in securities purchased under agreements to resell, and the continued accumulation of earnings retained from our operations, partially offset by redemptions of funding debt outpacing issuances. See “Liquidity and Capital Management—Liquidity Management—Cash Flows” for additional information on our cash activity in the first half of 2024.</w:t>
      </w:r>
    </w:p>
    <w:p>
      <w:pPr>
        <w:spacing w:after="0" w:line="79"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Mortgage Loans, Net of Allowance</w:t>
      </w:r>
    </w:p>
    <w:p>
      <w:pPr>
        <w:spacing w:after="0" w:line="63"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mortgage loans reported in our condensed consolidated balance sheets are classified as either HFS or HFI and include loans owned by Fannie Mae and loans held in consolidated trusts.</w:t>
      </w:r>
    </w:p>
    <w:p>
      <w:pPr>
        <w:spacing w:after="0" w:line="2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Mortgage loans, net of allowance for loan losses decreased from December 31, 2023 to June 30, 2024, driven primarily by loan paydowns, liquidations and sales outpacing acquisitions during the first half of 2024.</w:t>
      </w:r>
    </w:p>
    <w:p>
      <w:pPr>
        <w:spacing w:after="0" w:line="1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additional information on our mortgage loans, see “Note 4, Mortgage Loans,” and for additional information on changes in our allowance for loan losses, see “Note 5, Allowance for Loan Losses.”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Debt</w:t>
      </w:r>
    </w:p>
    <w:p>
      <w:pPr>
        <w:spacing w:after="0" w:line="7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decrease in debt of Fannie Mae from December 31, 2023 to June 30, 2024 was due to redemptions outpacing new issuances. The decrease in debt of consolidated trusts from December 31, 2023 to June 30, 2024 was primarily driven</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7" w:name="page18"/>
    <w:bookmarkEnd w:id="17"/>
    <w:p>
      <w:pPr>
        <w:ind w:left="8320"/>
        <w:spacing w:after="0"/>
        <w:rPr>
          <w:sz w:val="20"/>
          <w:szCs w:val="20"/>
          <w:color w:val="auto"/>
        </w:rPr>
      </w:pPr>
      <w:r>
        <w:rPr>
          <w:rFonts w:ascii="Arial" w:cs="Arial" w:eastAsia="Arial" w:hAnsi="Arial"/>
          <w:sz w:val="14"/>
          <w:szCs w:val="14"/>
          <w:color w:val="05314D"/>
        </w:rPr>
        <w:t>MD&amp;A | 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by liquidations of Fannie Mae MBS outpacing issuances. See “Liquidity and Capital Management—Liquidity Management—Debt Funding” for a summary of activity in debt of Fannie Mae and information on our outstanding short-term and long-term debt. Also see “Note 8, Short-Term and Long-Term Debt” for additional information on our total outstanding debt.</w:t>
      </w:r>
    </w:p>
    <w:p>
      <w:pPr>
        <w:spacing w:after="0" w:line="9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Stockholders’ Equity</w:t>
      </w:r>
    </w:p>
    <w:p>
      <w:pPr>
        <w:spacing w:after="0" w:line="6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Our stockholders’ equity (also referred to as our net worth) increased to $86.5 billion as of June 30, 2024, compared with $77.7 billion as of December 31, 2023, due to the $8.8 billion in comprehensive income recognized during the first half of 2024.</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use our retained mortgage portfolio primarily to provide liquidity to the mortgage market through portfolio securitization transactions and to support our loss mitigation activities.</w:t>
      </w:r>
    </w:p>
    <w:p>
      <w:pPr>
        <w:spacing w:after="0" w:line="28"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Our retained mortgage portfolio consists of mortgage loans and mortgage-related securities that we own, including Fannie Mae MBS and non-Fannie Mae mortgage-related securities. Assets held by consolidated MBS trusts that back mortgage-related securities owned by third parties are not included in our retained mortgage portfolio.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separate the instruments within our retained mortgage portfolio into three categories based on each instrument’s use:</w:t>
      </w:r>
    </w:p>
    <w:p>
      <w:pPr>
        <w:spacing w:after="0" w:line="61" w:lineRule="exact"/>
        <w:rPr>
          <w:sz w:val="20"/>
          <w:szCs w:val="20"/>
          <w:color w:val="auto"/>
        </w:rPr>
      </w:pPr>
    </w:p>
    <w:p>
      <w:pPr>
        <w:ind w:left="620" w:right="260" w:hanging="307"/>
        <w:spacing w:after="0" w:line="293" w:lineRule="auto"/>
        <w:tabs>
          <w:tab w:leader="none" w:pos="612"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Lender liquidity</w:t>
      </w:r>
      <w:r>
        <w:rPr>
          <w:rFonts w:ascii="Arial" w:cs="Arial" w:eastAsia="Arial" w:hAnsi="Arial"/>
          <w:sz w:val="16"/>
          <w:szCs w:val="16"/>
          <w:color w:val="auto"/>
        </w:rPr>
        <w:t>, which includes balances related to our portfolio securitization activity, supports our efforts to provide liquidity to the single-family</w:t>
      </w:r>
      <w:r>
        <w:rPr>
          <w:rFonts w:ascii="Arial" w:cs="Arial" w:eastAsia="Arial" w:hAnsi="Arial"/>
          <w:sz w:val="16"/>
          <w:szCs w:val="16"/>
          <w:i w:val="1"/>
          <w:iCs w:val="1"/>
          <w:color w:val="auto"/>
        </w:rPr>
        <w:t xml:space="preserve"> </w:t>
      </w:r>
      <w:r>
        <w:rPr>
          <w:rFonts w:ascii="Arial" w:cs="Arial" w:eastAsia="Arial" w:hAnsi="Arial"/>
          <w:sz w:val="16"/>
          <w:szCs w:val="16"/>
          <w:color w:val="auto"/>
        </w:rPr>
        <w:t>and multifamily mortgage markets.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Loss mitigation </w:t>
      </w:r>
      <w:r>
        <w:rPr>
          <w:rFonts w:ascii="Arial" w:cs="Arial" w:eastAsia="Arial" w:hAnsi="Arial"/>
          <w:sz w:val="16"/>
          <w:szCs w:val="16"/>
          <w:color w:val="auto"/>
        </w:rPr>
        <w:t>supports our loss mitigation efforts through the purchase of delinquent loans from our MBS trusts.</w:t>
      </w:r>
    </w:p>
    <w:p>
      <w:pPr>
        <w:spacing w:after="0" w:line="60" w:lineRule="exact"/>
        <w:rPr>
          <w:rFonts w:ascii="Arial" w:cs="Arial" w:eastAsia="Arial" w:hAnsi="Arial"/>
          <w:sz w:val="16"/>
          <w:szCs w:val="16"/>
          <w:color w:val="auto"/>
        </w:rPr>
      </w:pPr>
    </w:p>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represents assets that we previously purchased for investment purposes.</w:t>
      </w:r>
    </w:p>
    <w:p>
      <w:pPr>
        <w:spacing w:after="0" w:line="87"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The table below displays the components of our retained mortgage portfolio. Based on the nature of the asset, these balances are included in either “Investments in securities, at fair value” or “Mortgage loans, net of allowance for loan losses” in our “Summary of Condensed Consolidated Balance Sheets” table above.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001543"/>
        </w:rPr>
        <w:t>Retained Mortgage Portfolio</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7120" w:type="dxa"/>
            <w:vAlign w:val="bottom"/>
            <w:tcBorders>
              <w:top w:val="single" w:sz="8" w:color="2C6937"/>
            </w:tcBorders>
          </w:tcPr>
          <w:p>
            <w:pPr>
              <w:spacing w:after="0"/>
              <w:rPr>
                <w:sz w:val="20"/>
                <w:szCs w:val="20"/>
                <w:color w:val="auto"/>
              </w:rPr>
            </w:pPr>
          </w:p>
        </w:tc>
        <w:tc>
          <w:tcPr>
            <w:tcW w:w="120" w:type="dxa"/>
            <w:vAlign w:val="bottom"/>
            <w:tcBorders>
              <w:top w:val="single" w:sz="8" w:color="2C6937"/>
            </w:tcBorders>
          </w:tcPr>
          <w:p>
            <w:pPr>
              <w:spacing w:after="0"/>
              <w:rPr>
                <w:sz w:val="20"/>
                <w:szCs w:val="20"/>
                <w:color w:val="auto"/>
              </w:rPr>
            </w:pPr>
          </w:p>
        </w:tc>
        <w:tc>
          <w:tcPr>
            <w:tcW w:w="280" w:type="dxa"/>
            <w:vAlign w:val="bottom"/>
            <w:tcBorders>
              <w:top w:val="single" w:sz="8" w:color="2C6937"/>
              <w:bottom w:val="single" w:sz="8" w:color="2C6937"/>
            </w:tcBorders>
          </w:tcPr>
          <w:p>
            <w:pPr>
              <w:spacing w:after="0"/>
              <w:rPr>
                <w:sz w:val="20"/>
                <w:szCs w:val="20"/>
                <w:color w:val="auto"/>
              </w:rPr>
            </w:pPr>
          </w:p>
        </w:tc>
        <w:tc>
          <w:tcPr>
            <w:tcW w:w="196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740" w:type="dxa"/>
            <w:vAlign w:val="bottom"/>
            <w:tcBorders>
              <w:top w:val="single" w:sz="8" w:color="2C6937"/>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7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760" w:type="dxa"/>
            <w:vAlign w:val="bottom"/>
            <w:tcBorders>
              <w:bottom w:val="single" w:sz="8" w:color="2C6937"/>
            </w:tcBorders>
            <w:gridSpan w:val="2"/>
          </w:tcPr>
          <w:p>
            <w:pPr>
              <w:ind w:left="180"/>
              <w:spacing w:after="0"/>
              <w:rPr>
                <w:sz w:val="20"/>
                <w:szCs w:val="20"/>
                <w:color w:val="auto"/>
              </w:rPr>
            </w:pPr>
            <w:r>
              <w:rPr>
                <w:rFonts w:ascii="Arial" w:cs="Arial" w:eastAsia="Arial" w:hAnsi="Arial"/>
                <w:sz w:val="15"/>
                <w:szCs w:val="15"/>
                <w:b w:val="1"/>
                <w:bCs w:val="1"/>
                <w:color w:val="auto"/>
              </w:rPr>
              <w:t>June 30, 2024</w:t>
            </w:r>
          </w:p>
        </w:tc>
        <w:tc>
          <w:tcPr>
            <w:tcW w:w="200" w:type="dxa"/>
            <w:vAlign w:val="bottom"/>
            <w:tcBorders>
              <w:bottom w:val="single" w:sz="8" w:color="2C6937"/>
            </w:tcBorders>
          </w:tcPr>
          <w:p>
            <w:pPr>
              <w:spacing w:after="0"/>
              <w:rPr>
                <w:sz w:val="17"/>
                <w:szCs w:val="17"/>
                <w:color w:val="auto"/>
              </w:rPr>
            </w:pPr>
          </w:p>
        </w:tc>
        <w:tc>
          <w:tcPr>
            <w:tcW w:w="1740" w:type="dxa"/>
            <w:vAlign w:val="bottom"/>
            <w:tcBorders>
              <w:bottom w:val="single" w:sz="8" w:color="2C6937"/>
            </w:tcBorders>
          </w:tcPr>
          <w:p>
            <w:pPr>
              <w:jc w:val="right"/>
              <w:ind w:right="203"/>
              <w:spacing w:after="0"/>
              <w:rPr>
                <w:sz w:val="20"/>
                <w:szCs w:val="20"/>
                <w:color w:val="auto"/>
              </w:rPr>
            </w:pPr>
            <w:r>
              <w:rPr>
                <w:rFonts w:ascii="Arial" w:cs="Arial" w:eastAsia="Arial" w:hAnsi="Arial"/>
                <w:sz w:val="15"/>
                <w:szCs w:val="15"/>
                <w:b w:val="1"/>
                <w:bCs w:val="1"/>
                <w:color w:val="auto"/>
              </w:rPr>
              <w:t>December 31, 2023</w:t>
            </w:r>
          </w:p>
        </w:tc>
        <w:tc>
          <w:tcPr>
            <w:tcW w:w="0" w:type="dxa"/>
            <w:vAlign w:val="bottom"/>
          </w:tcPr>
          <w:p>
            <w:pPr>
              <w:spacing w:after="0"/>
              <w:rPr>
                <w:sz w:val="1"/>
                <w:szCs w:val="1"/>
                <w:color w:val="auto"/>
              </w:rPr>
            </w:pPr>
          </w:p>
        </w:tc>
      </w:tr>
      <w:tr>
        <w:trPr>
          <w:trHeight w:val="207"/>
        </w:trPr>
        <w:tc>
          <w:tcPr>
            <w:tcW w:w="72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Lender liquidity:</w:t>
            </w:r>
          </w:p>
        </w:tc>
        <w:tc>
          <w:tcPr>
            <w:tcW w:w="280" w:type="dxa"/>
            <w:vAlign w:val="bottom"/>
          </w:tcPr>
          <w:p>
            <w:pPr>
              <w:spacing w:after="0"/>
              <w:rPr>
                <w:sz w:val="17"/>
                <w:szCs w:val="17"/>
                <w:color w:val="auto"/>
              </w:rPr>
            </w:pPr>
          </w:p>
        </w:tc>
        <w:tc>
          <w:tcPr>
            <w:tcW w:w="3700" w:type="dxa"/>
            <w:vAlign w:val="bottom"/>
            <w:gridSpan w:val="4"/>
          </w:tcPr>
          <w:p>
            <w:pPr>
              <w:jc w:val="right"/>
              <w:ind w:right="1203"/>
              <w:spacing w:after="0"/>
              <w:rPr>
                <w:sz w:val="20"/>
                <w:szCs w:val="20"/>
                <w:color w:val="auto"/>
              </w:rPr>
            </w:pPr>
            <w:r>
              <w:rPr>
                <w:rFonts w:ascii="Arial" w:cs="Arial" w:eastAsia="Arial" w:hAnsi="Arial"/>
                <w:sz w:val="15"/>
                <w:szCs w:val="15"/>
                <w:b w:val="1"/>
                <w:bCs w:val="1"/>
                <w:color w:val="auto"/>
              </w:rPr>
              <w:t>(Dollars in millions)</w:t>
            </w:r>
          </w:p>
        </w:tc>
        <w:tc>
          <w:tcPr>
            <w:tcW w:w="0" w:type="dxa"/>
            <w:vAlign w:val="bottom"/>
          </w:tcPr>
          <w:p>
            <w:pPr>
              <w:spacing w:after="0"/>
              <w:rPr>
                <w:sz w:val="1"/>
                <w:szCs w:val="1"/>
                <w:color w:val="auto"/>
              </w:rPr>
            </w:pPr>
          </w:p>
        </w:tc>
      </w:tr>
      <w:tr>
        <w:trPr>
          <w:trHeight w:val="188"/>
        </w:trPr>
        <w:tc>
          <w:tcPr>
            <w:tcW w:w="72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280"/>
              <w:spacing w:after="0" w:line="216" w:lineRule="exact"/>
              <w:rPr>
                <w:sz w:val="20"/>
                <w:szCs w:val="20"/>
                <w:color w:val="auto"/>
              </w:rPr>
            </w:pPr>
            <w:r>
              <w:rPr>
                <w:rFonts w:ascii="Arial" w:cs="Arial" w:eastAsia="Arial" w:hAnsi="Arial"/>
                <w:sz w:val="15"/>
                <w:szCs w:val="15"/>
                <w:color w:val="auto"/>
              </w:rPr>
              <w:t>Agency securities</w:t>
            </w:r>
            <w:r>
              <w:rPr>
                <w:rFonts w:ascii="Arial" w:cs="Arial" w:eastAsia="Arial" w:hAnsi="Arial"/>
                <w:sz w:val="20"/>
                <w:szCs w:val="20"/>
                <w:color w:val="auto"/>
                <w:vertAlign w:val="superscript"/>
              </w:rPr>
              <w:t>(1)</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26,311</w:t>
            </w:r>
          </w:p>
        </w:tc>
        <w:tc>
          <w:tcPr>
            <w:tcW w:w="14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ind w:right="3"/>
              <w:spacing w:after="0"/>
              <w:rPr>
                <w:sz w:val="20"/>
                <w:szCs w:val="20"/>
                <w:color w:val="auto"/>
              </w:rPr>
            </w:pPr>
            <w:r>
              <w:rPr>
                <w:rFonts w:ascii="Arial" w:cs="Arial" w:eastAsia="Arial" w:hAnsi="Arial"/>
                <w:sz w:val="15"/>
                <w:szCs w:val="15"/>
                <w:color w:val="auto"/>
              </w:rPr>
              <w:t>27,823</w:t>
            </w:r>
          </w:p>
        </w:tc>
        <w:tc>
          <w:tcPr>
            <w:tcW w:w="0" w:type="dxa"/>
            <w:vAlign w:val="bottom"/>
          </w:tcPr>
          <w:p>
            <w:pPr>
              <w:spacing w:after="0"/>
              <w:rPr>
                <w:sz w:val="1"/>
                <w:szCs w:val="1"/>
                <w:color w:val="auto"/>
              </w:rPr>
            </w:pPr>
          </w:p>
        </w:tc>
      </w:tr>
      <w:tr>
        <w:trPr>
          <w:trHeight w:val="208"/>
        </w:trPr>
        <w:tc>
          <w:tcPr>
            <w:tcW w:w="712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Mortgage loans</w:t>
            </w:r>
          </w:p>
        </w:tc>
        <w:tc>
          <w:tcPr>
            <w:tcW w:w="12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8,250</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7,101</w:t>
            </w:r>
          </w:p>
        </w:tc>
        <w:tc>
          <w:tcPr>
            <w:tcW w:w="0" w:type="dxa"/>
            <w:vAlign w:val="bottom"/>
          </w:tcPr>
          <w:p>
            <w:pPr>
              <w:spacing w:after="0"/>
              <w:rPr>
                <w:sz w:val="1"/>
                <w:szCs w:val="1"/>
                <w:color w:val="auto"/>
              </w:rPr>
            </w:pPr>
          </w:p>
        </w:tc>
      </w:tr>
      <w:tr>
        <w:trPr>
          <w:trHeight w:val="188"/>
        </w:trPr>
        <w:tc>
          <w:tcPr>
            <w:tcW w:w="7240" w:type="dxa"/>
            <w:vAlign w:val="bottom"/>
            <w:gridSpan w:val="2"/>
          </w:tcPr>
          <w:p>
            <w:pPr>
              <w:ind w:left="120"/>
              <w:spacing w:after="0"/>
              <w:rPr>
                <w:sz w:val="20"/>
                <w:szCs w:val="20"/>
                <w:color w:val="auto"/>
              </w:rPr>
            </w:pPr>
            <w:r>
              <w:rPr>
                <w:rFonts w:ascii="Arial" w:cs="Arial" w:eastAsia="Arial" w:hAnsi="Arial"/>
                <w:sz w:val="15"/>
                <w:szCs w:val="15"/>
                <w:color w:val="auto"/>
              </w:rPr>
              <w:t>Total lender liquidity</w:t>
            </w:r>
          </w:p>
        </w:tc>
        <w:tc>
          <w:tcPr>
            <w:tcW w:w="2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34,561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jc w:val="right"/>
              <w:ind w:right="3"/>
              <w:spacing w:after="0"/>
              <w:rPr>
                <w:sz w:val="20"/>
                <w:szCs w:val="20"/>
                <w:color w:val="auto"/>
              </w:rPr>
            </w:pPr>
            <w:r>
              <w:rPr>
                <w:rFonts w:ascii="Arial" w:cs="Arial" w:eastAsia="Arial" w:hAnsi="Arial"/>
                <w:sz w:val="15"/>
                <w:szCs w:val="15"/>
                <w:color w:val="auto"/>
              </w:rPr>
              <w:t>34,924</w:t>
            </w:r>
          </w:p>
        </w:tc>
        <w:tc>
          <w:tcPr>
            <w:tcW w:w="0" w:type="dxa"/>
            <w:vAlign w:val="bottom"/>
          </w:tcPr>
          <w:p>
            <w:pPr>
              <w:spacing w:after="0"/>
              <w:rPr>
                <w:sz w:val="1"/>
                <w:szCs w:val="1"/>
                <w:color w:val="auto"/>
              </w:rPr>
            </w:pPr>
          </w:p>
        </w:tc>
      </w:tr>
      <w:tr>
        <w:trPr>
          <w:trHeight w:val="216"/>
        </w:trPr>
        <w:tc>
          <w:tcPr>
            <w:tcW w:w="7240" w:type="dxa"/>
            <w:vAlign w:val="bottom"/>
            <w:gridSpan w:val="2"/>
          </w:tcPr>
          <w:p>
            <w:pPr>
              <w:ind w:left="20"/>
              <w:spacing w:after="0" w:line="216" w:lineRule="exact"/>
              <w:rPr>
                <w:sz w:val="20"/>
                <w:szCs w:val="20"/>
                <w:color w:val="auto"/>
              </w:rPr>
            </w:pPr>
            <w:r>
              <w:rPr>
                <w:rFonts w:ascii="Arial" w:cs="Arial" w:eastAsia="Arial" w:hAnsi="Arial"/>
                <w:sz w:val="15"/>
                <w:szCs w:val="15"/>
                <w:b w:val="1"/>
                <w:bCs w:val="1"/>
                <w:color w:val="auto"/>
              </w:rPr>
              <w:t>Loss mitigation mortgage loans</w:t>
            </w:r>
            <w:r>
              <w:rPr>
                <w:rFonts w:ascii="Arial" w:cs="Arial" w:eastAsia="Arial" w:hAnsi="Arial"/>
                <w:sz w:val="20"/>
                <w:szCs w:val="20"/>
                <w:b w:val="1"/>
                <w:bCs w:val="1"/>
                <w:color w:val="auto"/>
                <w:vertAlign w:val="superscript"/>
              </w:rPr>
              <w:t>(2)</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38,382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3"/>
              <w:spacing w:after="0"/>
              <w:rPr>
                <w:sz w:val="20"/>
                <w:szCs w:val="20"/>
                <w:color w:val="auto"/>
              </w:rPr>
            </w:pPr>
            <w:r>
              <w:rPr>
                <w:rFonts w:ascii="Arial" w:cs="Arial" w:eastAsia="Arial" w:hAnsi="Arial"/>
                <w:sz w:val="15"/>
                <w:szCs w:val="15"/>
                <w:color w:val="auto"/>
              </w:rPr>
              <w:t>38,634</w:t>
            </w:r>
          </w:p>
        </w:tc>
        <w:tc>
          <w:tcPr>
            <w:tcW w:w="0" w:type="dxa"/>
            <w:vAlign w:val="bottom"/>
          </w:tcPr>
          <w:p>
            <w:pPr>
              <w:spacing w:after="0"/>
              <w:rPr>
                <w:sz w:val="1"/>
                <w:szCs w:val="1"/>
                <w:color w:val="auto"/>
              </w:rPr>
            </w:pPr>
          </w:p>
        </w:tc>
      </w:tr>
      <w:tr>
        <w:trPr>
          <w:trHeight w:val="197"/>
        </w:trPr>
        <w:tc>
          <w:tcPr>
            <w:tcW w:w="7240" w:type="dxa"/>
            <w:vAlign w:val="bottom"/>
            <w:gridSpan w:val="2"/>
          </w:tcPr>
          <w:p>
            <w:pPr>
              <w:ind w:left="20"/>
              <w:spacing w:after="0"/>
              <w:rPr>
                <w:sz w:val="20"/>
                <w:szCs w:val="20"/>
                <w:color w:val="auto"/>
              </w:rPr>
            </w:pPr>
            <w:r>
              <w:rPr>
                <w:rFonts w:ascii="Arial" w:cs="Arial" w:eastAsia="Arial" w:hAnsi="Arial"/>
                <w:sz w:val="15"/>
                <w:szCs w:val="15"/>
                <w:b w:val="1"/>
                <w:bCs w:val="1"/>
                <w:color w:val="auto"/>
              </w:rPr>
              <w:t>Other:</w:t>
            </w: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40" w:type="dxa"/>
            <w:vAlign w:val="bottom"/>
            <w:gridSpan w:val="2"/>
          </w:tcPr>
          <w:p>
            <w:pPr>
              <w:ind w:left="280"/>
              <w:spacing w:after="0" w:line="207" w:lineRule="exact"/>
              <w:rPr>
                <w:sz w:val="20"/>
                <w:szCs w:val="20"/>
                <w:color w:val="auto"/>
              </w:rPr>
            </w:pPr>
            <w:r>
              <w:rPr>
                <w:rFonts w:ascii="Arial" w:cs="Arial" w:eastAsia="Arial" w:hAnsi="Arial"/>
                <w:sz w:val="15"/>
                <w:szCs w:val="15"/>
                <w:color w:val="auto"/>
              </w:rPr>
              <w:t>Reverse mortgage loans and securities</w:t>
            </w:r>
            <w:r>
              <w:rPr>
                <w:rFonts w:ascii="Arial" w:cs="Arial" w:eastAsia="Arial" w:hAnsi="Arial"/>
                <w:sz w:val="20"/>
                <w:szCs w:val="20"/>
                <w:color w:val="auto"/>
                <w:vertAlign w:val="superscript"/>
              </w:rPr>
              <w:t>(3)</w:t>
            </w: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4,413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ind w:right="3"/>
              <w:spacing w:after="0"/>
              <w:rPr>
                <w:sz w:val="20"/>
                <w:szCs w:val="20"/>
                <w:color w:val="auto"/>
              </w:rPr>
            </w:pPr>
            <w:r>
              <w:rPr>
                <w:rFonts w:ascii="Arial" w:cs="Arial" w:eastAsia="Arial" w:hAnsi="Arial"/>
                <w:sz w:val="15"/>
                <w:szCs w:val="15"/>
                <w:color w:val="auto"/>
              </w:rPr>
              <w:t>5,953</w:t>
            </w:r>
          </w:p>
        </w:tc>
        <w:tc>
          <w:tcPr>
            <w:tcW w:w="0" w:type="dxa"/>
            <w:vAlign w:val="bottom"/>
          </w:tcPr>
          <w:p>
            <w:pPr>
              <w:spacing w:after="0"/>
              <w:rPr>
                <w:sz w:val="1"/>
                <w:szCs w:val="1"/>
                <w:color w:val="auto"/>
              </w:rPr>
            </w:pPr>
          </w:p>
        </w:tc>
      </w:tr>
      <w:tr>
        <w:trPr>
          <w:trHeight w:val="217"/>
        </w:trPr>
        <w:tc>
          <w:tcPr>
            <w:tcW w:w="7120" w:type="dxa"/>
            <w:vAlign w:val="bottom"/>
            <w:tcBorders>
              <w:bottom w:val="single" w:sz="8" w:color="2C6937"/>
            </w:tcBorders>
          </w:tcPr>
          <w:p>
            <w:pPr>
              <w:ind w:left="280"/>
              <w:spacing w:after="0" w:line="217" w:lineRule="exact"/>
              <w:rPr>
                <w:sz w:val="20"/>
                <w:szCs w:val="20"/>
                <w:color w:val="auto"/>
              </w:rPr>
            </w:pPr>
            <w:r>
              <w:rPr>
                <w:rFonts w:ascii="Arial" w:cs="Arial" w:eastAsia="Arial" w:hAnsi="Arial"/>
                <w:sz w:val="15"/>
                <w:szCs w:val="15"/>
                <w:color w:val="auto"/>
              </w:rPr>
              <w:t>Other mortgage loans and securities</w:t>
            </w:r>
            <w:r>
              <w:rPr>
                <w:rFonts w:ascii="Arial" w:cs="Arial" w:eastAsia="Arial" w:hAnsi="Arial"/>
                <w:sz w:val="20"/>
                <w:szCs w:val="20"/>
                <w:color w:val="auto"/>
                <w:vertAlign w:val="superscript"/>
              </w:rPr>
              <w:t>(4)</w:t>
            </w:r>
          </w:p>
        </w:tc>
        <w:tc>
          <w:tcPr>
            <w:tcW w:w="12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2,721</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3,683</w:t>
            </w:r>
          </w:p>
        </w:tc>
        <w:tc>
          <w:tcPr>
            <w:tcW w:w="0" w:type="dxa"/>
            <w:vAlign w:val="bottom"/>
          </w:tcPr>
          <w:p>
            <w:pPr>
              <w:spacing w:after="0"/>
              <w:rPr>
                <w:sz w:val="1"/>
                <w:szCs w:val="1"/>
                <w:color w:val="auto"/>
              </w:rPr>
            </w:pPr>
          </w:p>
        </w:tc>
      </w:tr>
      <w:tr>
        <w:trPr>
          <w:trHeight w:val="199"/>
        </w:trPr>
        <w:tc>
          <w:tcPr>
            <w:tcW w:w="71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Total other</w:t>
            </w:r>
          </w:p>
        </w:tc>
        <w:tc>
          <w:tcPr>
            <w:tcW w:w="12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7,134</w:t>
            </w:r>
          </w:p>
        </w:tc>
        <w:tc>
          <w:tcPr>
            <w:tcW w:w="14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9,636</w:t>
            </w:r>
          </w:p>
        </w:tc>
        <w:tc>
          <w:tcPr>
            <w:tcW w:w="0" w:type="dxa"/>
            <w:vAlign w:val="bottom"/>
          </w:tcPr>
          <w:p>
            <w:pPr>
              <w:spacing w:after="0"/>
              <w:rPr>
                <w:sz w:val="1"/>
                <w:szCs w:val="1"/>
                <w:color w:val="auto"/>
              </w:rPr>
            </w:pPr>
          </w:p>
        </w:tc>
      </w:tr>
      <w:tr>
        <w:trPr>
          <w:trHeight w:val="199"/>
        </w:trPr>
        <w:tc>
          <w:tcPr>
            <w:tcW w:w="7240" w:type="dxa"/>
            <w:vAlign w:val="bottom"/>
            <w:gridSpan w:val="2"/>
          </w:tcPr>
          <w:p>
            <w:pPr>
              <w:ind w:left="60"/>
              <w:spacing w:after="0"/>
              <w:rPr>
                <w:sz w:val="20"/>
                <w:szCs w:val="20"/>
                <w:color w:val="auto"/>
              </w:rPr>
            </w:pPr>
            <w:r>
              <w:rPr>
                <w:rFonts w:ascii="Arial" w:cs="Arial" w:eastAsia="Arial" w:hAnsi="Arial"/>
                <w:sz w:val="15"/>
                <w:szCs w:val="15"/>
                <w:color w:val="auto"/>
              </w:rPr>
              <w:t>Total retained mortgage portfolio</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80,077</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ind w:right="3"/>
              <w:spacing w:after="0"/>
              <w:rPr>
                <w:sz w:val="20"/>
                <w:szCs w:val="20"/>
                <w:color w:val="auto"/>
              </w:rPr>
            </w:pPr>
            <w:r>
              <w:rPr>
                <w:rFonts w:ascii="Arial" w:cs="Arial" w:eastAsia="Arial" w:hAnsi="Arial"/>
                <w:sz w:val="15"/>
                <w:szCs w:val="15"/>
                <w:color w:val="auto"/>
              </w:rPr>
              <w:t>83,194</w:t>
            </w:r>
          </w:p>
        </w:tc>
        <w:tc>
          <w:tcPr>
            <w:tcW w:w="0" w:type="dxa"/>
            <w:vAlign w:val="bottom"/>
          </w:tcPr>
          <w:p>
            <w:pPr>
              <w:spacing w:after="0"/>
              <w:rPr>
                <w:sz w:val="1"/>
                <w:szCs w:val="1"/>
                <w:color w:val="auto"/>
              </w:rPr>
            </w:pPr>
          </w:p>
        </w:tc>
      </w:tr>
      <w:tr>
        <w:trPr>
          <w:trHeight w:val="20"/>
        </w:trPr>
        <w:tc>
          <w:tcPr>
            <w:tcW w:w="71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16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7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240" w:type="dxa"/>
            <w:vAlign w:val="bottom"/>
            <w:gridSpan w:val="2"/>
          </w:tcPr>
          <w:p>
            <w:pPr>
              <w:ind w:left="20"/>
              <w:spacing w:after="0"/>
              <w:rPr>
                <w:sz w:val="20"/>
                <w:szCs w:val="20"/>
                <w:color w:val="auto"/>
              </w:rPr>
            </w:pPr>
            <w:r>
              <w:rPr>
                <w:rFonts w:ascii="Arial" w:cs="Arial" w:eastAsia="Arial" w:hAnsi="Arial"/>
                <w:sz w:val="15"/>
                <w:szCs w:val="15"/>
                <w:b w:val="1"/>
                <w:bCs w:val="1"/>
                <w:color w:val="auto"/>
              </w:rPr>
              <w:t>Retained mortgage portfolio by segment:</w:t>
            </w: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75,311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7240" w:type="dxa"/>
            <w:vAlign w:val="bottom"/>
            <w:gridSpan w:val="2"/>
          </w:tcPr>
          <w:p>
            <w:pPr>
              <w:ind w:left="200"/>
              <w:spacing w:after="0"/>
              <w:rPr>
                <w:sz w:val="20"/>
                <w:szCs w:val="20"/>
                <w:color w:val="auto"/>
              </w:rPr>
            </w:pPr>
            <w:r>
              <w:rPr>
                <w:rFonts w:ascii="Arial" w:cs="Arial" w:eastAsia="Arial" w:hAnsi="Arial"/>
                <w:sz w:val="15"/>
                <w:szCs w:val="15"/>
                <w:color w:val="auto"/>
              </w:rPr>
              <w:t>Single-family mortgage loans and mortgage-related securities</w:t>
            </w:r>
          </w:p>
        </w:tc>
        <w:tc>
          <w:tcPr>
            <w:tcW w:w="28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ind w:right="3"/>
              <w:spacing w:after="0"/>
              <w:rPr>
                <w:sz w:val="20"/>
                <w:szCs w:val="20"/>
                <w:color w:val="auto"/>
              </w:rPr>
            </w:pPr>
            <w:r>
              <w:rPr>
                <w:rFonts w:ascii="Arial" w:cs="Arial" w:eastAsia="Arial" w:hAnsi="Arial"/>
                <w:sz w:val="15"/>
                <w:szCs w:val="15"/>
                <w:color w:val="auto"/>
              </w:rPr>
              <w:t>77,357</w:t>
            </w:r>
          </w:p>
        </w:tc>
        <w:tc>
          <w:tcPr>
            <w:tcW w:w="0" w:type="dxa"/>
            <w:vAlign w:val="bottom"/>
          </w:tcPr>
          <w:p>
            <w:pPr>
              <w:spacing w:after="0"/>
              <w:rPr>
                <w:sz w:val="1"/>
                <w:szCs w:val="1"/>
                <w:color w:val="auto"/>
              </w:rPr>
            </w:pPr>
          </w:p>
        </w:tc>
      </w:tr>
      <w:tr>
        <w:trPr>
          <w:trHeight w:val="214"/>
        </w:trPr>
        <w:tc>
          <w:tcPr>
            <w:tcW w:w="7240" w:type="dxa"/>
            <w:vAlign w:val="bottom"/>
            <w:gridSpan w:val="2"/>
          </w:tcPr>
          <w:p>
            <w:pPr>
              <w:ind w:left="200"/>
              <w:spacing w:after="0"/>
              <w:rPr>
                <w:sz w:val="20"/>
                <w:szCs w:val="20"/>
                <w:color w:val="auto"/>
              </w:rPr>
            </w:pPr>
            <w:r>
              <w:rPr>
                <w:rFonts w:ascii="Arial" w:cs="Arial" w:eastAsia="Arial" w:hAnsi="Arial"/>
                <w:sz w:val="15"/>
                <w:szCs w:val="15"/>
                <w:color w:val="auto"/>
              </w:rPr>
              <w:t>Multifamily mortgage loans and mortgage-related securities</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4,766</w:t>
            </w:r>
          </w:p>
        </w:tc>
        <w:tc>
          <w:tcPr>
            <w:tcW w:w="14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ind w:right="3"/>
              <w:spacing w:after="0"/>
              <w:rPr>
                <w:sz w:val="20"/>
                <w:szCs w:val="20"/>
                <w:color w:val="auto"/>
              </w:rPr>
            </w:pPr>
            <w:r>
              <w:rPr>
                <w:rFonts w:ascii="Arial" w:cs="Arial" w:eastAsia="Arial" w:hAnsi="Arial"/>
                <w:sz w:val="15"/>
                <w:szCs w:val="15"/>
                <w:color w:val="auto"/>
              </w:rPr>
              <w:t>5,837</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40" w:right="200" w:hanging="237"/>
        <w:spacing w:after="0" w:line="275" w:lineRule="auto"/>
        <w:tabs>
          <w:tab w:leader="none" w:pos="233" w:val="left"/>
        </w:tabs>
        <w:numPr>
          <w:ilvl w:val="0"/>
          <w:numId w:val="21"/>
        </w:numPr>
        <w:rPr>
          <w:rFonts w:ascii="Arial" w:cs="Arial" w:eastAsia="Arial" w:hAnsi="Arial"/>
          <w:sz w:val="9"/>
          <w:szCs w:val="9"/>
          <w:color w:val="auto"/>
        </w:rPr>
      </w:pPr>
      <w:r>
        <w:rPr>
          <w:rFonts w:ascii="Arial" w:cs="Arial" w:eastAsia="Arial" w:hAnsi="Arial"/>
          <w:sz w:val="14"/>
          <w:szCs w:val="14"/>
          <w:color w:val="auto"/>
        </w:rPr>
        <w:t>Consists of Fannie Mae, Freddie Mac and Ginnie Mae mortgage-related securities, including Freddie Mac securities guaranteed by Fannie Mae. Excludes Fannie Mae and Ginnie Mae reverse mortgage securities and Fannie Mae-wrapped private-label securities.</w:t>
      </w:r>
    </w:p>
    <w:p>
      <w:pPr>
        <w:spacing w:after="0" w:line="4" w:lineRule="exact"/>
        <w:rPr>
          <w:rFonts w:ascii="Arial" w:cs="Arial" w:eastAsia="Arial" w:hAnsi="Arial"/>
          <w:sz w:val="9"/>
          <w:szCs w:val="9"/>
          <w:color w:val="auto"/>
        </w:rPr>
      </w:pPr>
    </w:p>
    <w:p>
      <w:pPr>
        <w:ind w:left="240" w:right="540" w:hanging="237"/>
        <w:spacing w:after="0" w:line="226" w:lineRule="auto"/>
        <w:tabs>
          <w:tab w:leader="none" w:pos="233"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Includes single-family loans on nonaccrual status of $9.0 billion and $8.1 billion as of June 30, 2024 and December 31, 2023, respectively. Also includes multifamily loans on nonaccrual status of $2.2 billion and $2.0 billion as of June 30, 2024 and December 31, 2023, respectively.</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Includes Fannie Mae and Ginnie Mae reverse mortgage securities. We stopped acquiring newly originated reverse mortgage loans in 2010.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15</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8" w:name="page19"/>
    <w:bookmarkEnd w:id="18"/>
    <w:p>
      <w:pPr>
        <w:ind w:left="9000"/>
        <w:spacing w:after="0"/>
        <w:rPr>
          <w:sz w:val="20"/>
          <w:szCs w:val="20"/>
          <w:color w:val="auto"/>
        </w:rPr>
      </w:pPr>
      <w:r>
        <w:rPr>
          <w:rFonts w:ascii="Arial" w:cs="Arial" w:eastAsia="Arial" w:hAnsi="Arial"/>
          <w:sz w:val="13"/>
          <w:szCs w:val="13"/>
          <w:color w:val="05314D"/>
        </w:rPr>
        <w:t>MD&amp;A | 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24130</wp:posOffset>
            </wp:positionV>
            <wp:extent cx="7122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right="300" w:hanging="237"/>
        <w:spacing w:after="0" w:line="226" w:lineRule="auto"/>
        <w:tabs>
          <w:tab w:leader="none" w:pos="216"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Other mortgage loans primarily includes multifamily loans on accrual status and single-family loans that are not included in the loss mitigation or lender liquidity categories. Other mortgage securities primarily includes private-label securities and mortgage revenue bonds.</w:t>
      </w:r>
    </w:p>
    <w:p>
      <w:pPr>
        <w:spacing w:after="0" w:line="5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amount of mortgage assets that we may own is capped at $225 billion under the terms of our senior preferred stock purchase agreement with Treasury. In addition, we are currently required to cap our mortgage assets at $202.5 billion per instructions from FHFA. We include 10% of the notional value of the interest-only securities we hold in calculating the size of the retained mortgage portfolio for the purpose of determining compliance with the senior preferred stock purchase agreement mortgage assets cap and associated FHFA instructions. As of June 30, 2024, 10% of the notional value of our interest-only securities was $1.7 billion, which is not included in the table above.</w:t>
      </w:r>
    </w:p>
    <w:p>
      <w:pPr>
        <w:spacing w:after="0" w:line="5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Under the terms of our MBS trust documents, we have the option or, in some instances, the obligation, to purchase mortgage loans that meet specific criteria from an MBS trust. The purchase price for these loans is the unpaid principal balance of the loans plus accrued interest. If a delinquent loan remains in a single-family MBS trust, the servicer is responsible for advancing the borrower’s missed scheduled principal and interest payments to the MBS holders for up to four months, after which time we must make these missed payments. In addition, we must reimburse servicers for advanced principal and interest payments.</w:t>
      </w:r>
    </w:p>
    <w:p>
      <w:pPr>
        <w:spacing w:after="0" w:line="53"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In support of our loss mitigation strategies, we purchased $6.3 billion of loans from our single-family MBS trusts in the first half of 2024, the substantial majority of which were delinquent, compared with $4.5 billion of loans purchased from single-family MBS trusts in the first half of 2023.</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Our “guaranty book of business” consists of:</w:t>
      </w:r>
    </w:p>
    <w:p>
      <w:pPr>
        <w:spacing w:after="0" w:line="61"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Fannie Mae MBS outstanding, excluding the portions of any structured securities we issue that are backed by Freddie Mac securities;</w:t>
      </w:r>
    </w:p>
    <w:p>
      <w:pPr>
        <w:spacing w:after="0" w:line="60" w:lineRule="exact"/>
        <w:rPr>
          <w:rFonts w:ascii="Arial" w:cs="Arial" w:eastAsia="Arial" w:hAnsi="Arial"/>
          <w:sz w:val="16"/>
          <w:szCs w:val="16"/>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mortgage loans of Fannie Mae held in our retained mortgage portfolio; and</w:t>
      </w:r>
    </w:p>
    <w:p>
      <w:pPr>
        <w:spacing w:after="0" w:line="73" w:lineRule="exact"/>
        <w:rPr>
          <w:rFonts w:ascii="Arial" w:cs="Arial" w:eastAsia="Arial" w:hAnsi="Arial"/>
          <w:sz w:val="16"/>
          <w:szCs w:val="16"/>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credit enhancements that we provide on mortgage assets.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“Total Fannie Mae guarantees” consists of:</w:t>
      </w:r>
    </w:p>
    <w:p>
      <w:pPr>
        <w:spacing w:after="0" w:line="61"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guaranty book of business; and</w:t>
      </w:r>
    </w:p>
    <w:p>
      <w:pPr>
        <w:spacing w:after="0" w:line="60" w:lineRule="exact"/>
        <w:rPr>
          <w:rFonts w:ascii="Arial" w:cs="Arial" w:eastAsia="Arial" w:hAnsi="Arial"/>
          <w:sz w:val="16"/>
          <w:szCs w:val="16"/>
          <w:color w:val="auto"/>
        </w:rPr>
      </w:pPr>
    </w:p>
    <w:p>
      <w:pPr>
        <w:ind w:left="620" w:hanging="307"/>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portions of any structured securities we issue that are backed by Freddie Mac securities.</w:t>
      </w:r>
    </w:p>
    <w:p>
      <w:pPr>
        <w:spacing w:after="0" w:line="87"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We and Freddie Mac issue single-family uniform mortgage-backed securities, or “UMBS.” We use the term “Fannie Mae MBS” or “our MBS” to refer to any type of mortgage-backed security that we issue, including UMBS</w:t>
      </w:r>
      <w:r>
        <w:rPr>
          <w:rFonts w:ascii="Arial" w:cs="Arial" w:eastAsia="Arial" w:hAnsi="Arial"/>
          <w:sz w:val="21"/>
          <w:szCs w:val="21"/>
          <w:color w:val="auto"/>
          <w:vertAlign w:val="superscript"/>
        </w:rPr>
        <w:t>®</w:t>
      </w:r>
      <w:r>
        <w:rPr>
          <w:rFonts w:ascii="Arial" w:cs="Arial" w:eastAsia="Arial" w:hAnsi="Arial"/>
          <w:sz w:val="16"/>
          <w:szCs w:val="16"/>
          <w:color w:val="auto"/>
        </w:rPr>
        <w:t>, Supers</w:t>
      </w:r>
      <w:r>
        <w:rPr>
          <w:rFonts w:ascii="Arial" w:cs="Arial" w:eastAsia="Arial" w:hAnsi="Arial"/>
          <w:sz w:val="21"/>
          <w:szCs w:val="21"/>
          <w:color w:val="auto"/>
          <w:vertAlign w:val="superscript"/>
        </w:rPr>
        <w:t>®</w:t>
      </w:r>
      <w:r>
        <w:rPr>
          <w:rFonts w:ascii="Arial" w:cs="Arial" w:eastAsia="Arial" w:hAnsi="Arial"/>
          <w:sz w:val="16"/>
          <w:szCs w:val="16"/>
          <w:color w:val="auto"/>
        </w:rPr>
        <w:t>, Real Estate Mortgage Investment Conduit securities (“REMICs”) and other types of single-family or multifamily mortgage-backed securities.</w:t>
      </w:r>
    </w:p>
    <w:p>
      <w:pPr>
        <w:spacing w:after="0" w:line="53"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Some Fannie Mae MBS that we issue are backed in whole or in part by Freddie Mac securities. When we resecuritize Freddie Mac securities into Fannie Mae-issued structured securities, such as Supers and REMICs, our guaranty of principal and interest extends to the underlying Freddie Mac securities. However, Freddie Mac continues to guarantee the payment of principal and interest on the underlying Freddie Mac securities that we have resecuritized. References to our single-family guaranty book of business exclude Freddie Mac-acquired mortgage loans underlying Freddie Mac securities that we have resecuritized.</w:t>
      </w:r>
    </w:p>
    <w:p>
      <w:pPr>
        <w:spacing w:after="0" w:line="38"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Our issuance of structured securities backed in whole or in part by Freddie Mac securities creates additional off-balance sheet exposure. Our guaranty extends to the underlying Freddie Mac security included in the structured security, but we do not have control over the Freddie Mac mortgage loan securitizations. Because we do not have the power to direct matters (primarily the servicing of mortgage loans) that impact the credit risk to which we are exposed, which constitute control of these securitization trusts, we do not consolidate these trusts in our condensed consolidated balance sheet, giving rise to off-balance sheet exposure. See “Liquidity and Capital Management—Liquidity Management—Off-Balance Sheet Arrangements” and “Note 7, Financial Guarantees” for information regarding our maximum exposure to loss on unconsolidated Fannie Mae MBS and Freddie Mac securities.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9" w:name="page20"/>
    <w:bookmarkEnd w:id="19"/>
    <w:p>
      <w:pPr>
        <w:ind w:left="8940"/>
        <w:spacing w:after="0"/>
        <w:rPr>
          <w:sz w:val="20"/>
          <w:szCs w:val="20"/>
          <w:color w:val="auto"/>
        </w:rPr>
      </w:pPr>
      <w:r>
        <w:rPr>
          <w:rFonts w:ascii="Arial" w:cs="Arial" w:eastAsia="Arial" w:hAnsi="Arial"/>
          <w:sz w:val="14"/>
          <w:szCs w:val="14"/>
          <w:color w:val="05314D"/>
        </w:rPr>
        <w:t>MD&amp;A |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composition of our guaranty book of business based on unpaid principal balance.</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Composition of Fannie Mae Guaranty Book of Business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4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1980" w:type="dxa"/>
            <w:vAlign w:val="bottom"/>
            <w:tcBorders>
              <w:top w:val="single" w:sz="8" w:color="2C6937"/>
              <w:bottom w:val="single" w:sz="8" w:color="2C6937"/>
            </w:tcBorders>
            <w:gridSpan w:val="4"/>
          </w:tcPr>
          <w:p>
            <w:pPr>
              <w:jc w:val="right"/>
              <w:ind w:right="891"/>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4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800" w:type="dxa"/>
            <w:vAlign w:val="bottom"/>
            <w:tcBorders>
              <w:top w:val="single" w:sz="8" w:color="2C6937"/>
              <w:bottom w:val="single" w:sz="8" w:color="2C6937"/>
            </w:tcBorders>
          </w:tcPr>
          <w:p>
            <w:pPr>
              <w:spacing w:after="0"/>
              <w:rPr>
                <w:sz w:val="18"/>
                <w:szCs w:val="18"/>
                <w:color w:val="auto"/>
              </w:rPr>
            </w:pPr>
          </w:p>
        </w:tc>
      </w:t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gridSpan w:val="3"/>
          </w:tcPr>
          <w:p>
            <w:pPr>
              <w:ind w:left="20"/>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300" w:type="dxa"/>
            <w:vAlign w:val="bottom"/>
            <w:tcBorders>
              <w:bottom w:val="single" w:sz="8" w:color="2C6937"/>
            </w:tcBorders>
            <w:gridSpan w:val="5"/>
          </w:tcPr>
          <w:p>
            <w:pPr>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Single-Family</w:t>
            </w: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w w:val="96"/>
              </w:rPr>
              <w:t>Single-Family</w:t>
            </w:r>
          </w:p>
        </w:tc>
        <w:tc>
          <w:tcPr>
            <w:tcW w:w="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71"/>
              <w:spacing w:after="0"/>
              <w:rPr>
                <w:sz w:val="20"/>
                <w:szCs w:val="20"/>
                <w:color w:val="auto"/>
              </w:rPr>
            </w:pPr>
            <w:r>
              <w:rPr>
                <w:rFonts w:ascii="Arial" w:cs="Arial" w:eastAsia="Arial" w:hAnsi="Arial"/>
                <w:sz w:val="14"/>
                <w:szCs w:val="14"/>
                <w:b w:val="1"/>
                <w:bCs w:val="1"/>
                <w:color w:val="auto"/>
              </w:rPr>
              <w:t>Total</w:t>
            </w:r>
          </w:p>
        </w:tc>
      </w:tr>
      <w:tr>
        <w:trPr>
          <w:trHeight w:val="185"/>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(Dollars in 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6"/>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Conventional guaranty book of business</w:t>
            </w:r>
            <w:r>
              <w:rPr>
                <w:rFonts w:ascii="Arial" w:cs="Arial" w:eastAsia="Arial" w:hAnsi="Arial"/>
                <w:sz w:val="17"/>
                <w:szCs w:val="17"/>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3,639,052</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481,647</w:t>
            </w:r>
          </w:p>
        </w:tc>
        <w:tc>
          <w:tcPr>
            <w:tcW w:w="10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4,120,699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3,647,344</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471,812</w:t>
            </w:r>
          </w:p>
        </w:tc>
        <w:tc>
          <w:tcPr>
            <w:tcW w:w="10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4,119,156</w:t>
            </w:r>
          </w:p>
        </w:tc>
      </w:tr>
      <w:tr>
        <w:trPr>
          <w:trHeight w:val="192"/>
        </w:trPr>
        <w:tc>
          <w:tcPr>
            <w:tcW w:w="4240" w:type="dxa"/>
            <w:vAlign w:val="bottom"/>
            <w:tcBorders>
              <w:bottom w:val="single" w:sz="8" w:color="2C6937"/>
            </w:tcBorders>
          </w:tcPr>
          <w:p>
            <w:pPr>
              <w:ind w:left="20"/>
              <w:spacing w:after="0" w:line="192" w:lineRule="exact"/>
              <w:rPr>
                <w:sz w:val="20"/>
                <w:szCs w:val="20"/>
                <w:color w:val="auto"/>
              </w:rPr>
            </w:pPr>
            <w:r>
              <w:rPr>
                <w:rFonts w:ascii="Arial" w:cs="Arial" w:eastAsia="Arial" w:hAnsi="Arial"/>
                <w:sz w:val="14"/>
                <w:szCs w:val="14"/>
                <w:color w:val="auto"/>
              </w:rPr>
              <w:t>Government guaranty book of business</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6,554</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494</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7,048</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7,901</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8,421</w:t>
            </w:r>
          </w:p>
        </w:tc>
      </w:tr>
      <w:tr>
        <w:trPr>
          <w:trHeight w:val="185"/>
        </w:trPr>
        <w:tc>
          <w:tcPr>
            <w:tcW w:w="4340" w:type="dxa"/>
            <w:vAlign w:val="bottom"/>
            <w:gridSpan w:val="2"/>
          </w:tcPr>
          <w:p>
            <w:pPr>
              <w:ind w:left="120"/>
              <w:spacing w:after="0"/>
              <w:rPr>
                <w:sz w:val="20"/>
                <w:szCs w:val="20"/>
                <w:color w:val="auto"/>
              </w:rPr>
            </w:pPr>
            <w:r>
              <w:rPr>
                <w:rFonts w:ascii="Arial" w:cs="Arial" w:eastAsia="Arial" w:hAnsi="Arial"/>
                <w:sz w:val="14"/>
                <w:szCs w:val="14"/>
                <w:color w:val="auto"/>
              </w:rPr>
              <w:t>Guaranty book of business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3,645,606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482,141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4,127,747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3,655,245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472,332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4,127,577</w:t>
            </w:r>
          </w:p>
        </w:tc>
      </w:tr>
      <w:tr>
        <w:trPr>
          <w:trHeight w:val="195"/>
        </w:trPr>
        <w:tc>
          <w:tcPr>
            <w:tcW w:w="4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Freddie Mac securities guaranteed by Fannie Mae</w:t>
            </w:r>
            <w:r>
              <w:rPr>
                <w:rFonts w:ascii="Arial" w:cs="Arial" w:eastAsia="Arial" w:hAnsi="Arial"/>
                <w:sz w:val="17"/>
                <w:szCs w:val="17"/>
                <w:color w:val="auto"/>
                <w:vertAlign w:val="superscript"/>
              </w:rPr>
              <w:t>(3)</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208,283</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208,283</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215,605</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215,605</w:t>
            </w:r>
          </w:p>
        </w:tc>
      </w:tr>
      <w:tr>
        <w:trPr>
          <w:trHeight w:val="185"/>
        </w:trPr>
        <w:tc>
          <w:tcPr>
            <w:tcW w:w="4340" w:type="dxa"/>
            <w:vAlign w:val="bottom"/>
            <w:gridSpan w:val="2"/>
          </w:tcPr>
          <w:p>
            <w:pPr>
              <w:ind w:left="140"/>
              <w:spacing w:after="0"/>
              <w:rPr>
                <w:sz w:val="20"/>
                <w:szCs w:val="20"/>
                <w:color w:val="auto"/>
              </w:rPr>
            </w:pPr>
            <w:r>
              <w:rPr>
                <w:rFonts w:ascii="Arial" w:cs="Arial" w:eastAsia="Arial" w:hAnsi="Arial"/>
                <w:sz w:val="14"/>
                <w:szCs w:val="14"/>
                <w:color w:val="auto"/>
              </w:rPr>
              <w:t>Total Fannie Mae guarantees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3,853,889</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482,141</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4,336,030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3,870,850</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472,332</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4,343,182</w:t>
            </w:r>
          </w:p>
        </w:tc>
      </w:tr>
      <w:tr>
        <w:trPr>
          <w:trHeight w:val="20"/>
        </w:trPr>
        <w:tc>
          <w:tcPr>
            <w:tcW w:w="4240" w:type="dxa"/>
            <w:vAlign w:val="bottom"/>
            <w:tcBorders>
              <w:top w:val="single" w:sz="8" w:color="216C2B"/>
              <w:bottom w:val="single" w:sz="8" w:color="216C2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Refers to mortgage loans and mortgage-related securities that are not guaranteed or insured, in whole or in part, by the U.S. government.</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Refers to mortgage loans and mortgage-related securities guaranteed or insured, in whole or in part, by the U.S. government.</w:t>
      </w:r>
    </w:p>
    <w:p>
      <w:pPr>
        <w:spacing w:after="0" w:line="38" w:lineRule="exact"/>
        <w:rPr>
          <w:rFonts w:ascii="Arial" w:cs="Arial" w:eastAsia="Arial" w:hAnsi="Arial"/>
          <w:sz w:val="18"/>
          <w:szCs w:val="18"/>
          <w:color w:val="auto"/>
          <w:vertAlign w:val="superscript"/>
        </w:rPr>
      </w:pPr>
    </w:p>
    <w:p>
      <w:pPr>
        <w:ind w:left="240" w:right="20" w:hanging="237"/>
        <w:spacing w:after="0" w:line="228" w:lineRule="auto"/>
        <w:tabs>
          <w:tab w:leader="none" w:pos="233"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Consists of off-balance sheet arrangements of approximately (i) $173.3 billion and $179.6 billion in unpaid principal balance of Freddie Mac-issued UMBS backing Fannie Mae-issued Supers as of June 30, 2024 and December 31, 2023, respectively; and (ii) $35.0 billion and $36.0 billion in unpaid principal balance of Freddie Mac securities backing Fannie Mae-issued REMICs as of June 30, 2024 and December 31, 2023, respectively. See “Liquidity and Capital Management—Liquidity Management—Off-Balance Sheet Arrangements” for more information regarding our maximum exposure to loss on consolidated Fannie Mae MBS and Freddie Mac securities.</w:t>
      </w:r>
    </w:p>
    <w:p>
      <w:pPr>
        <w:spacing w:after="0" w:line="99"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New Business and Affordable Housing Allocations</w:t>
      </w:r>
    </w:p>
    <w:p>
      <w:pPr>
        <w:spacing w:after="0" w:line="63"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The Federal Housing Enterprises Financial Safety and Soundness Act of 1992, as amended (the “GSE Act”), requires us to set aside each year an amount equal to 4.2 basis points of the unpaid principal balance of our new business purchases and to pay this amount to specified U.S. Department of Housing and Urban Development (“HUD”) and Treasury funds in support of affordable housing. In March 2024, we paid $155 million to the funds based on our new business purchases in 2023. For the first half of 2024, we recognized an expense of $70 million related to this obligation based on $167.6 billion in new business purchases during the period. We expect to pay this amount to the funds in 2025, plus additional amounts to be accrued based on our new business purchases in the second half of 2024.</w:t>
      </w:r>
    </w:p>
    <w:p>
      <w:pPr>
        <w:spacing w:after="0" w:line="13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24130</wp:posOffset>
            </wp:positionV>
            <wp:extent cx="711390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15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have two reportable business segments: Single-Family and Multifamily. The chart below displays net revenues and net income for each of our business segments for the first half of 2024 compared with the first half of 2023. Net revenues consist of net interest income and fee and other income.</w:t>
      </w:r>
    </w:p>
    <w:p>
      <w:pPr>
        <w:spacing w:after="0" w:line="67"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63C5E"/>
        </w:rPr>
        <w:t>Business Segment Net Revenues and Net Income</w:t>
      </w:r>
    </w:p>
    <w:p>
      <w:pPr>
        <w:spacing w:after="0" w:line="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81280</wp:posOffset>
            </wp:positionV>
            <wp:extent cx="5321300" cy="16370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2130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In the following sections, we describe each segment’s business metrics, financial results and credit performance.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0" w:name="page21"/>
    <w:bookmarkEnd w:id="20"/>
    <w:p>
      <w:pPr>
        <w:ind w:left="7160"/>
        <w:spacing w:after="0"/>
        <w:rPr>
          <w:sz w:val="20"/>
          <w:szCs w:val="20"/>
          <w:color w:val="auto"/>
        </w:rPr>
      </w:pPr>
      <w:r>
        <w:rPr>
          <w:rFonts w:ascii="Arial" w:cs="Arial" w:eastAsia="Arial" w:hAnsi="Arial"/>
          <w:sz w:val="14"/>
          <w:szCs w:val="14"/>
          <w:color w:val="05314D"/>
        </w:rPr>
        <w:t>MD&amp;A | Single-Family Business | Single-Family Mortgage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Single-Family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jc w:val="both"/>
        <w:ind w:right="400"/>
        <w:spacing w:after="0" w:line="272" w:lineRule="auto"/>
        <w:rPr>
          <w:sz w:val="20"/>
          <w:szCs w:val="20"/>
          <w:color w:val="auto"/>
        </w:rPr>
      </w:pPr>
      <w:r>
        <w:rPr>
          <w:rFonts w:ascii="Arial" w:cs="Arial" w:eastAsia="Arial" w:hAnsi="Arial"/>
          <w:sz w:val="16"/>
          <w:szCs w:val="16"/>
          <w:color w:val="auto"/>
        </w:rPr>
        <w:t>This section supplements and updates information regarding our Single-Family business segment in our 2023 Form 10-K. See “MD&amp;A—Single-Family Business” in our 2023 Form 10-K for additional information regarding the primary business activities, lenders, investors and competition of our Single-Family business.</w:t>
      </w:r>
    </w:p>
    <w:p>
      <w:pPr>
        <w:spacing w:after="0" w:line="9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 Market</w:t>
      </w:r>
    </w:p>
    <w:p>
      <w:pPr>
        <w:spacing w:after="0" w:line="63" w:lineRule="exact"/>
        <w:rPr>
          <w:sz w:val="20"/>
          <w:szCs w:val="20"/>
          <w:color w:val="auto"/>
        </w:rPr>
      </w:pPr>
    </w:p>
    <w:p>
      <w:pPr>
        <w:ind w:right="280"/>
        <w:spacing w:after="0" w:line="241" w:lineRule="auto"/>
        <w:rPr>
          <w:sz w:val="20"/>
          <w:szCs w:val="20"/>
          <w:color w:val="auto"/>
        </w:rPr>
      </w:pPr>
      <w:r>
        <w:rPr>
          <w:rFonts w:ascii="Arial" w:cs="Arial" w:eastAsia="Arial" w:hAnsi="Arial"/>
          <w:sz w:val="16"/>
          <w:szCs w:val="16"/>
          <w:color w:val="auto"/>
        </w:rPr>
        <w:t>Housing activity decreased in the second quarter of 2024 compared with the first quarter of 2024. Total existing home sales averaged 4.05 million units annualized in the second quarter of 2024, compared with 4.20 million units in the first quarter of 2024, according to data from the National Association of REALTORS</w:t>
      </w:r>
      <w:r>
        <w:rPr>
          <w:rFonts w:ascii="Arial" w:cs="Arial" w:eastAsia="Arial" w:hAnsi="Arial"/>
          <w:sz w:val="21"/>
          <w:szCs w:val="21"/>
          <w:color w:val="auto"/>
          <w:vertAlign w:val="superscript"/>
        </w:rPr>
        <w:t>®</w:t>
      </w:r>
      <w:r>
        <w:rPr>
          <w:rFonts w:ascii="Arial" w:cs="Arial" w:eastAsia="Arial" w:hAnsi="Arial"/>
          <w:sz w:val="16"/>
          <w:szCs w:val="16"/>
          <w:color w:val="auto"/>
        </w:rPr>
        <w:t>. According to the U.S. Census Bureau, new single-family home sales averaged an annualized rate of approximately 656,000 units in the second quarter of 2024, compared with approximately 663,000 units in the first quarter of 2024.</w:t>
      </w:r>
    </w:p>
    <w:p>
      <w:pPr>
        <w:spacing w:after="0" w:line="6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average 30-year fixed mortgage rate was 6.86% as of June 27, 2024, compared with 6.79% as of March 28, 2024, and averaged 7.00% in the second quarter of 2024, compared with 6.75% in the first quarter of 2024, according to Freddie Mac’s Primary Mortgage Market Survey</w:t>
      </w:r>
      <w:r>
        <w:rPr>
          <w:rFonts w:ascii="Arial" w:cs="Arial" w:eastAsia="Arial" w:hAnsi="Arial"/>
          <w:sz w:val="21"/>
          <w:szCs w:val="21"/>
          <w:color w:val="auto"/>
          <w:vertAlign w:val="superscript"/>
        </w:rPr>
        <w:t>®</w:t>
      </w:r>
      <w:r>
        <w:rPr>
          <w:rFonts w:ascii="Arial" w:cs="Arial" w:eastAsia="Arial" w:hAnsi="Arial"/>
          <w:sz w:val="16"/>
          <w:szCs w:val="16"/>
          <w:color w:val="auto"/>
        </w:rPr>
        <w:t>.</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Single-family mortgage market originations increased modestly from an estimated $421 billion in the second quarter of 2023 to an estimated $451 billion in the second quarter of 2024. According to the July forecast from our Economic and Strategic Research Group, total originations in the U.S. single-family mortgage market in 2024 are forecasted to increase from 2023 levels by approximately 16%, from an estimated $1.47 trillion in 2023 to $1.70 trillion in 2024, and the amount of refinance originations in the U.S. single-family mortgage market are forecasted to increase from an estimated $248 billion in 2023 to $346 billion in 2024. Our Economic and Strategic Research Group’s July forecast is based on data available as of July 11, 2024. See “Key Market Economic Indicators” in our 2023 Form 10-K for additional discussion of how housing activity can affect our financial results and the uncertainties that may affect our forecasts and expectations.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18</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4"/>
          <w:szCs w:val="14"/>
          <w:color w:val="05314D"/>
        </w:rPr>
        <w:t>MD&amp;A | Single-Family Business | Single-Family Mortgage-Related Securities Issuances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22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Mortgage-Related Securities Issuances Share</w:t>
      </w:r>
    </w:p>
    <w:p>
      <w:pPr>
        <w:spacing w:after="0" w:line="6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Our single-family Fannie Mae MBS issuances were $85.0 billion for the second quarter of 2024, compared with $91.6 billion for the second quarter of 2023. Based on the latest data available, the charts below display our estimated share of single-family mortgage-related securities issuances as compared with that of our primary competitors for the issuance of single-family mortgage-related securities for the periods indicated.</w:t>
      </w:r>
    </w:p>
    <w:p>
      <w:pPr>
        <w:spacing w:after="0" w:line="115"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Single-Family Mortgage-Related Securities Issuances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154940</wp:posOffset>
            </wp:positionV>
            <wp:extent cx="4715510" cy="25215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1551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160" w:type="dxa"/>
        <w:tblCellMar>
          <w:top w:w="0" w:type="dxa"/>
          <w:left w:w="0" w:type="dxa"/>
          <w:bottom w:w="0" w:type="dxa"/>
          <w:right w:w="0" w:type="dxa"/>
        </w:tblCellMar>
      </w:tblPr>
      <w:tr>
        <w:trPr>
          <w:trHeight w:val="193"/>
        </w:trPr>
        <w:tc>
          <w:tcPr>
            <w:tcW w:w="4000" w:type="dxa"/>
            <w:vAlign w:val="bottom"/>
          </w:tcPr>
          <w:p>
            <w:pPr>
              <w:spacing w:after="0"/>
              <w:rPr>
                <w:sz w:val="20"/>
                <w:szCs w:val="20"/>
                <w:color w:val="auto"/>
              </w:rPr>
            </w:pPr>
            <w:r>
              <w:rPr>
                <w:rFonts w:ascii="Arial" w:cs="Arial" w:eastAsia="Arial" w:hAnsi="Arial"/>
                <w:sz w:val="14"/>
                <w:szCs w:val="14"/>
                <w:color w:val="auto"/>
              </w:rPr>
              <w:t>Ginnie Mae</w:t>
            </w:r>
          </w:p>
        </w:tc>
        <w:tc>
          <w:tcPr>
            <w:tcW w:w="220" w:type="dxa"/>
            <w:vAlign w:val="bottom"/>
            <w:shd w:val="clear" w:color="auto" w:fill="911A5B"/>
          </w:tcPr>
          <w:p>
            <w:pPr>
              <w:spacing w:after="0"/>
              <w:rPr>
                <w:sz w:val="16"/>
                <w:szCs w:val="16"/>
                <w:color w:val="auto"/>
              </w:rPr>
            </w:pPr>
          </w:p>
        </w:tc>
        <w:tc>
          <w:tcPr>
            <w:tcW w:w="1600" w:type="dxa"/>
            <w:vAlign w:val="bottom"/>
          </w:tcPr>
          <w:p>
            <w:pPr>
              <w:ind w:left="220"/>
              <w:spacing w:after="0"/>
              <w:rPr>
                <w:sz w:val="20"/>
                <w:szCs w:val="20"/>
                <w:color w:val="auto"/>
              </w:rPr>
            </w:pPr>
            <w:r>
              <w:rPr>
                <w:rFonts w:ascii="Arial" w:cs="Arial" w:eastAsia="Arial" w:hAnsi="Arial"/>
                <w:sz w:val="14"/>
                <w:szCs w:val="14"/>
                <w:color w:val="auto"/>
                <w:w w:val="96"/>
              </w:rPr>
              <w:t>Private-label securities</w:t>
            </w:r>
          </w:p>
        </w:tc>
        <w:tc>
          <w:tcPr>
            <w:tcW w:w="0" w:type="dxa"/>
            <w:vAlign w:val="bottom"/>
          </w:tcPr>
          <w:p>
            <w:pPr>
              <w:spacing w:after="0"/>
              <w:rPr>
                <w:sz w:val="1"/>
                <w:szCs w:val="1"/>
                <w:color w:val="auto"/>
              </w:rPr>
            </w:pPr>
          </w:p>
        </w:tc>
      </w:tr>
      <w:tr>
        <w:trPr>
          <w:trHeight w:val="52"/>
        </w:trPr>
        <w:tc>
          <w:tcPr>
            <w:tcW w:w="4000" w:type="dxa"/>
            <w:vAlign w:val="bottom"/>
            <w:vMerge w:val="restart"/>
          </w:tcPr>
          <w:p>
            <w:pPr>
              <w:spacing w:after="0"/>
              <w:rPr>
                <w:sz w:val="20"/>
                <w:szCs w:val="20"/>
                <w:color w:val="auto"/>
              </w:rPr>
            </w:pPr>
            <w:r>
              <w:rPr>
                <w:rFonts w:ascii="Arial" w:cs="Arial" w:eastAsia="Arial" w:hAnsi="Arial"/>
                <w:sz w:val="14"/>
                <w:szCs w:val="14"/>
                <w:color w:val="auto"/>
              </w:rPr>
              <w:t>Fannie Mae</w:t>
            </w:r>
          </w:p>
        </w:tc>
        <w:tc>
          <w:tcPr>
            <w:tcW w:w="220" w:type="dxa"/>
            <w:vAlign w:val="bottom"/>
          </w:tcPr>
          <w:p>
            <w:pPr>
              <w:spacing w:after="0"/>
              <w:rPr>
                <w:sz w:val="4"/>
                <w:szCs w:val="4"/>
                <w:color w:val="auto"/>
              </w:rPr>
            </w:pPr>
          </w:p>
        </w:tc>
        <w:tc>
          <w:tcPr>
            <w:tcW w:w="1600" w:type="dxa"/>
            <w:vAlign w:val="bottom"/>
            <w:vMerge w:val="restart"/>
          </w:tcPr>
          <w:p>
            <w:pPr>
              <w:ind w:left="220"/>
              <w:spacing w:after="0"/>
              <w:rPr>
                <w:sz w:val="20"/>
                <w:szCs w:val="20"/>
                <w:color w:val="auto"/>
              </w:rPr>
            </w:pPr>
            <w:r>
              <w:rPr>
                <w:rFonts w:ascii="Arial" w:cs="Arial" w:eastAsia="Arial" w:hAnsi="Arial"/>
                <w:sz w:val="14"/>
                <w:szCs w:val="14"/>
                <w:color w:val="auto"/>
              </w:rPr>
              <w:t>Freddie Mac</w:t>
            </w:r>
          </w:p>
        </w:tc>
        <w:tc>
          <w:tcPr>
            <w:tcW w:w="0" w:type="dxa"/>
            <w:vAlign w:val="bottom"/>
          </w:tcPr>
          <w:p>
            <w:pPr>
              <w:spacing w:after="0"/>
              <w:rPr>
                <w:sz w:val="1"/>
                <w:szCs w:val="1"/>
                <w:color w:val="auto"/>
              </w:rPr>
            </w:pPr>
          </w:p>
        </w:tc>
      </w:tr>
      <w:tr>
        <w:trPr>
          <w:trHeight w:val="193"/>
        </w:trPr>
        <w:tc>
          <w:tcPr>
            <w:tcW w:w="4000" w:type="dxa"/>
            <w:vAlign w:val="bottom"/>
            <w:vMerge w:val="continue"/>
          </w:tcPr>
          <w:p>
            <w:pPr>
              <w:spacing w:after="0"/>
              <w:rPr>
                <w:sz w:val="16"/>
                <w:szCs w:val="16"/>
                <w:color w:val="auto"/>
              </w:rPr>
            </w:pPr>
          </w:p>
        </w:tc>
        <w:tc>
          <w:tcPr>
            <w:tcW w:w="220" w:type="dxa"/>
            <w:vAlign w:val="bottom"/>
            <w:shd w:val="clear" w:color="auto" w:fill="5587A6"/>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-121920</wp:posOffset>
            </wp:positionV>
            <wp:extent cx="139065" cy="1225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9065" cy="122555"/>
                    </a:xfrm>
                    <a:prstGeom prst="rect">
                      <a:avLst/>
                    </a:prstGeom>
                    <a:noFill/>
                  </pic:spPr>
                </pic:pic>
              </a:graphicData>
            </a:graphic>
          </wp:anchor>
        </w:drawing>
      </w:r>
    </w:p>
    <w:p>
      <w:pPr>
        <w:spacing w:after="0" w:line="203"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For several quarters, we have faced increased competition for the acquisition of single-family mortgage assets, which has impacted our share of single-family loan acquisitions and, in turn, our share of single-family mortgage-related securities issuances.</w:t>
      </w:r>
    </w:p>
    <w:p>
      <w:pPr>
        <w:spacing w:after="0" w:line="1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market share is impacted by different variables such as our pricing of single-family loans and the competitive market environment. Decisions regarding the pricing and acquisition of single-family loans incorporate different, and sometimes competing, factors, as discussed in “MD&amp;A—Single-Family Business —Single-Family Mortgage-Related Securities Issuances Share” in our First Quarter 2024 Form 10-Q. For a discussion of factors that affect or could affect our business, our competitive environment, demand for our MBS, or the liquidity and market value of our MBS, as well as the risks associated with our conservatorship, our capital requirements relative to that of our primary competitor, our housing goals, the UMBS market and the performance of our MBS, see “Business—Conservatorship and Treasury Agreements,” “Business—Legislation and Regulation,” “Risk Factors” and “MD&amp;A—Single-Family Business —Single-Family Competition” in our 2023 Form 10-K.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19</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2" w:name="page23"/>
    <w:bookmarkEnd w:id="22"/>
    <w:p>
      <w:pPr>
        <w:ind w:left="7160"/>
        <w:spacing w:after="0"/>
        <w:rPr>
          <w:sz w:val="20"/>
          <w:szCs w:val="20"/>
          <w:color w:val="auto"/>
        </w:rPr>
      </w:pPr>
      <w:r>
        <w:rPr>
          <w:rFonts w:ascii="Arial" w:cs="Arial" w:eastAsia="Arial" w:hAnsi="Arial"/>
          <w:sz w:val="14"/>
          <w:szCs w:val="14"/>
          <w:color w:val="05314D"/>
        </w:rPr>
        <w:t>MD&amp;A | Single-Family Business | Single-Family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Business Metrics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Select Business Metrics</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charts below display our average charged guaranty fees, net of TCCA fees, on our single-family conventional guaranty book of business and on new single-family conventional loan acquisitions, along with our average single-family conventional guaranty book of business and our single-family conventional loan acquisitions for the periods presented.</w:t>
      </w:r>
    </w:p>
    <w:p>
      <w:pPr>
        <w:spacing w:after="0" w:line="3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Select Single-Family Business Metrics</w:t>
      </w:r>
      <w:r>
        <w:rPr>
          <w:rFonts w:ascii="Georgia" w:cs="Georgia" w:eastAsia="Georgia" w:hAnsi="Georgia"/>
          <w:sz w:val="24"/>
          <w:szCs w:val="24"/>
          <w:b w:val="1"/>
          <w:bCs w:val="1"/>
          <w:color w:val="05314D"/>
          <w:vertAlign w:val="superscript"/>
        </w:rPr>
        <w:t>(1)</w:t>
      </w:r>
    </w:p>
    <w:p>
      <w:pPr>
        <w:jc w:val="center"/>
        <w:spacing w:after="0" w:line="237" w:lineRule="auto"/>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64770</wp:posOffset>
            </wp:positionV>
            <wp:extent cx="5591175" cy="18503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91175" cy="185039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180" w:right="400"/>
        <w:spacing w:after="0" w:line="295" w:lineRule="auto"/>
        <w:rPr>
          <w:sz w:val="20"/>
          <w:szCs w:val="20"/>
          <w:color w:val="auto"/>
        </w:rPr>
      </w:pPr>
      <w:r>
        <w:rPr>
          <w:rFonts w:ascii="Arial" w:cs="Arial" w:eastAsia="Arial" w:hAnsi="Arial"/>
          <w:sz w:val="14"/>
          <w:szCs w:val="14"/>
          <w:color w:val="auto"/>
        </w:rPr>
        <w:t>Average charged guaranty fee on single-family conventional guaranty book of business, net of TCCA fees</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37465</wp:posOffset>
            </wp:positionV>
            <wp:extent cx="147320" cy="984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7320" cy="98425"/>
                    </a:xfrm>
                    <a:prstGeom prst="rect">
                      <a:avLst/>
                    </a:prstGeom>
                    <a:noFill/>
                  </pic:spPr>
                </pic:pic>
              </a:graphicData>
            </a:graphic>
          </wp:anchor>
        </w:drawing>
      </w:r>
    </w:p>
    <w:p>
      <w:pPr>
        <w:spacing w:after="0" w:line="58" w:lineRule="exact"/>
        <w:rPr>
          <w:sz w:val="20"/>
          <w:szCs w:val="20"/>
          <w:color w:val="auto"/>
        </w:rPr>
      </w:pPr>
    </w:p>
    <w:p>
      <w:pPr>
        <w:ind w:left="1180" w:right="680"/>
        <w:spacing w:after="0" w:line="295" w:lineRule="auto"/>
        <w:rPr>
          <w:sz w:val="20"/>
          <w:szCs w:val="20"/>
          <w:color w:val="auto"/>
        </w:rPr>
      </w:pPr>
      <w:r>
        <w:rPr>
          <w:rFonts w:ascii="Arial" w:cs="Arial" w:eastAsia="Arial" w:hAnsi="Arial"/>
          <w:sz w:val="14"/>
          <w:szCs w:val="14"/>
          <w:color w:val="auto"/>
        </w:rPr>
        <w:t>Average charged guaranty fee on new single-family conventional acquisitions, net of TCCA fees</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Average single-family conventional guaranty book of business</w:t>
      </w:r>
      <w:r>
        <w:rPr>
          <w:rFonts w:ascii="Arial" w:cs="Arial" w:eastAsia="Arial" w:hAnsi="Arial"/>
          <w:sz w:val="16"/>
          <w:szCs w:val="1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201295</wp:posOffset>
            </wp:positionV>
            <wp:extent cx="155575" cy="984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5575" cy="9842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Single-family conventional acquisitions</w:t>
      </w:r>
    </w:p>
    <w:p>
      <w:pPr>
        <w:spacing w:after="0" w:line="380" w:lineRule="exact"/>
        <w:rPr>
          <w:sz w:val="20"/>
          <w:szCs w:val="20"/>
          <w:color w:val="auto"/>
        </w:rPr>
      </w:pPr>
    </w:p>
    <w:p>
      <w:pPr>
        <w:sectPr>
          <w:pgSz w:w="11900" w:h="16838" w:orient="portrait"/>
          <w:cols w:equalWidth="0" w:num="2">
            <w:col w:w="5800" w:space="720"/>
            <w:col w:w="4720"/>
          </w:cols>
          <w:pgMar w:left="320" w:top="248" w:right="339" w:bottom="1440" w:gutter="0" w:footer="0" w:header="0"/>
          <w:type w:val="continuous"/>
        </w:sectPr>
      </w:pPr>
    </w:p>
    <w:p>
      <w:pPr>
        <w:ind w:left="240" w:right="180" w:hanging="236"/>
        <w:spacing w:after="0"/>
        <w:tabs>
          <w:tab w:leader="none" w:pos="27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For information reported in this “Single-Family Business” section, our single-family conventional guaranty book of business is measured using the unpaid principal balance of our mortgage loans underlying Fannie Mae MBS outstanding. By contrast, the single-family conventional guaranty book of business presented in the “Composition of Fannie Mae Guaranty Book of Business” table in the “Guaranty Book of Business” section is based on the unpaid principal balance of the Fannie Mae MBS outstanding, rather than the unpaid principal balance of the underlying mortgage loans. These amounts differ primarily as a result of payments we receive on underlying loans that have not yet been paid to the MBS holders or instances where we have advanced missed borrower payments on mortgage loans to make required distributions to related MBS holders. As measured for purposes of the information reported in this section, our single-family conventional guaranty book of business was $3,624.0 billion as of June 30, 2024 and $3,636.7 billion as of December 31, 2023.</w:t>
      </w:r>
    </w:p>
    <w:p>
      <w:pPr>
        <w:spacing w:after="0" w:line="13"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26"/>
        </w:numPr>
        <w:rPr>
          <w:rFonts w:ascii="Arial" w:cs="Arial" w:eastAsia="Arial" w:hAnsi="Arial"/>
          <w:sz w:val="9"/>
          <w:szCs w:val="9"/>
          <w:color w:val="auto"/>
        </w:rPr>
      </w:pPr>
      <w:r>
        <w:rPr>
          <w:rFonts w:ascii="Arial" w:cs="Arial" w:eastAsia="Arial" w:hAnsi="Arial"/>
          <w:sz w:val="14"/>
          <w:szCs w:val="14"/>
          <w:color w:val="auto"/>
        </w:rPr>
        <w:t>Excludes the impact of a 10 basis point guaranty fee increase implemented pursuant to the TCCA, the incremental revenue from which is paid to Treasury and not retained by us.</w:t>
      </w:r>
    </w:p>
    <w:p>
      <w:pPr>
        <w:spacing w:after="0" w:line="45" w:lineRule="exact"/>
        <w:rPr>
          <w:rFonts w:ascii="Arial" w:cs="Arial" w:eastAsia="Arial" w:hAnsi="Arial"/>
          <w:sz w:val="9"/>
          <w:szCs w:val="9"/>
          <w:color w:val="auto"/>
        </w:rPr>
      </w:pPr>
    </w:p>
    <w:p>
      <w:pPr>
        <w:ind w:left="240" w:right="60" w:hanging="237"/>
        <w:spacing w:after="0" w:line="275" w:lineRule="auto"/>
        <w:tabs>
          <w:tab w:leader="none" w:pos="270" w:val="left"/>
        </w:tabs>
        <w:numPr>
          <w:ilvl w:val="0"/>
          <w:numId w:val="26"/>
        </w:numPr>
        <w:rPr>
          <w:rFonts w:ascii="Arial" w:cs="Arial" w:eastAsia="Arial" w:hAnsi="Arial"/>
          <w:sz w:val="8"/>
          <w:szCs w:val="8"/>
          <w:color w:val="auto"/>
        </w:rPr>
      </w:pPr>
      <w:r>
        <w:rPr>
          <w:rFonts w:ascii="Arial" w:cs="Arial" w:eastAsia="Arial" w:hAnsi="Arial"/>
          <w:sz w:val="13"/>
          <w:szCs w:val="13"/>
          <w:color w:val="auto"/>
        </w:rPr>
        <w:t>Our single-family conventional guaranty book of business primarily consists of single-family conventional mortgage loans underlying Fannie Mae MBS outstanding. It also includes single-family conventional mortgage loans of Fannie Mae held in our retained mortgage portfolio, and other credit enhancements that we provide on single-family conventional mortgage assets. Our single-family conventional guaranty book of business does not include: (a) mortgage loans guaranteed or insured, in whole or in part, by the U.S. government;</w:t>
      </w:r>
    </w:p>
    <w:p>
      <w:pPr>
        <w:ind w:left="240" w:right="100"/>
        <w:spacing w:after="0" w:line="299" w:lineRule="auto"/>
        <w:rPr>
          <w:rFonts w:ascii="Arial" w:cs="Arial" w:eastAsia="Arial" w:hAnsi="Arial"/>
          <w:sz w:val="8"/>
          <w:szCs w:val="8"/>
          <w:color w:val="auto"/>
        </w:rPr>
      </w:pPr>
      <w:r>
        <w:rPr>
          <w:rFonts w:ascii="Arial" w:cs="Arial" w:eastAsia="Arial" w:hAnsi="Arial"/>
          <w:sz w:val="13"/>
          <w:szCs w:val="13"/>
          <w:color w:val="auto"/>
        </w:rPr>
        <w:t>(b) Freddie Mac-acquired mortgage loans underlying Freddie Mac-issued UMBS that we have resecuritized; or (c) non-Fannie Mae single-family mortgage-related securities held in our retained mortgage portfolio for which we do not provide a guaranty. Our average single-family conventional guaranty book of business is based on quarter-end balances.</w:t>
      </w:r>
    </w:p>
    <w:p>
      <w:pPr>
        <w:spacing w:after="0" w:line="27"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Our single-family conventional loan acquisition volumes remained near historically low levels in the second quarter of 2024. Due to continued high interest rates in the second quarter of 2024, few borrowers could benefit from refinancing, resulting in low refinance volumes. In addition, housing affordability constraints and limited supply continued to put downward pressure on the volume of purchase loans we acquired.</w:t>
      </w:r>
    </w:p>
    <w:p>
      <w:pPr>
        <w:spacing w:after="0" w:line="2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Average charged guaranty fee on newly acquired conventional single-family loans is a metric management uses to measure the amount we earn as compensation for the credit risk we manage and to assess our return. Average charged guaranty fee represents, on an annualized basis, the average of the base guaranty fees charged during the period for our single-family conventional guaranty arrangements, which we receive monthly over the life of the loan, plus the recognition of any upfront cash payments, including loan-level price adjustments, based on an estimated average life at the time of acquisition.</w:t>
      </w:r>
    </w:p>
    <w:p>
      <w:pPr>
        <w:spacing w:after="0" w:line="48" w:lineRule="exact"/>
        <w:rPr>
          <w:sz w:val="20"/>
          <w:szCs w:val="20"/>
          <w:color w:val="auto"/>
        </w:rPr>
      </w:pPr>
    </w:p>
    <w:p>
      <w:pPr>
        <w:ind w:right="680"/>
        <w:spacing w:after="0" w:line="293" w:lineRule="auto"/>
        <w:rPr>
          <w:sz w:val="20"/>
          <w:szCs w:val="20"/>
          <w:color w:val="auto"/>
        </w:rPr>
      </w:pPr>
      <w:r>
        <w:rPr>
          <w:rFonts w:ascii="Arial" w:cs="Arial" w:eastAsia="Arial" w:hAnsi="Arial"/>
          <w:sz w:val="16"/>
          <w:szCs w:val="16"/>
          <w:color w:val="auto"/>
        </w:rPr>
        <w:t>Our average charged guaranty fee on newly acquired conventional single-family loans, net of TCCA fees, decreased in the second quarter of 2024 compared with the second quarter of 2023, primarily as a result of a shift in product mix and an improvement in credit profile.</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23" w:name="page24"/>
    <w:bookmarkEnd w:id="23"/>
    <w:p>
      <w:pPr>
        <w:ind w:left="6560"/>
        <w:spacing w:after="0"/>
        <w:rPr>
          <w:sz w:val="20"/>
          <w:szCs w:val="20"/>
          <w:color w:val="auto"/>
        </w:rPr>
      </w:pPr>
      <w:r>
        <w:rPr>
          <w:rFonts w:ascii="Arial" w:cs="Arial" w:eastAsia="Arial" w:hAnsi="Arial"/>
          <w:sz w:val="14"/>
          <w:szCs w:val="14"/>
          <w:color w:val="05314D"/>
        </w:rPr>
        <w:t>MD&amp;A | Single-Family Business | Single-Family Business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Business Financial Results</w:t>
      </w:r>
    </w:p>
    <w:p>
      <w:pPr>
        <w:spacing w:after="0" w:line="6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This section provides a discussion of the primary components of net income for our Single-Family Business. This information complements the discussion of financial results in “Consolidated Results of Operations.”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Single-Family Business Financial Results</w:t>
      </w:r>
      <w:r>
        <w:rPr>
          <w:rFonts w:ascii="Arial" w:cs="Arial" w:eastAsia="Arial" w:hAnsi="Arial"/>
          <w:sz w:val="24"/>
          <w:szCs w:val="24"/>
          <w:b w:val="1"/>
          <w:bCs w:val="1"/>
          <w:color w:val="05314D"/>
          <w:vertAlign w:val="superscript"/>
        </w:rPr>
        <w:t>(1)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4700" w:type="dxa"/>
            <w:vAlign w:val="bottom"/>
            <w:tcBorders>
              <w:top w:val="single" w:sz="8" w:color="2C6937"/>
            </w:tcBorders>
          </w:tcPr>
          <w:p>
            <w:pPr>
              <w:spacing w:after="0"/>
              <w:rPr>
                <w:sz w:val="12"/>
                <w:szCs w:val="12"/>
                <w:color w:val="auto"/>
              </w:rPr>
            </w:pPr>
          </w:p>
        </w:tc>
        <w:tc>
          <w:tcPr>
            <w:tcW w:w="100" w:type="dxa"/>
            <w:vAlign w:val="bottom"/>
            <w:tcBorders>
              <w:top w:val="single" w:sz="8" w:color="2C6937"/>
            </w:tcBorders>
          </w:tcPr>
          <w:p>
            <w:pPr>
              <w:spacing w:after="0"/>
              <w:rPr>
                <w:sz w:val="12"/>
                <w:szCs w:val="12"/>
                <w:color w:val="auto"/>
              </w:rPr>
            </w:pPr>
          </w:p>
        </w:tc>
        <w:tc>
          <w:tcPr>
            <w:tcW w:w="2140" w:type="dxa"/>
            <w:vAlign w:val="bottom"/>
            <w:tcBorders>
              <w:top w:val="single" w:sz="8" w:color="2C6937"/>
            </w:tcBorders>
            <w:gridSpan w:val="6"/>
          </w:tcPr>
          <w:p>
            <w:pPr>
              <w:ind w:left="60"/>
              <w:spacing w:after="0" w:line="148" w:lineRule="exact"/>
              <w:rPr>
                <w:sz w:val="20"/>
                <w:szCs w:val="20"/>
                <w:color w:val="auto"/>
              </w:rPr>
            </w:pPr>
            <w:r>
              <w:rPr>
                <w:rFonts w:ascii="Arial" w:cs="Arial" w:eastAsia="Arial" w:hAnsi="Arial"/>
                <w:sz w:val="14"/>
                <w:szCs w:val="14"/>
                <w:b w:val="1"/>
                <w:bCs w:val="1"/>
                <w:color w:val="auto"/>
              </w:rPr>
              <w:t>For the Three Months Ended</w:t>
            </w:r>
          </w:p>
        </w:tc>
        <w:tc>
          <w:tcPr>
            <w:tcW w:w="160" w:type="dxa"/>
            <w:vAlign w:val="bottom"/>
            <w:tcBorders>
              <w:top w:val="single" w:sz="8" w:color="2C6937"/>
            </w:tcBorders>
          </w:tcPr>
          <w:p>
            <w:pPr>
              <w:spacing w:after="0"/>
              <w:rPr>
                <w:sz w:val="12"/>
                <w:szCs w:val="12"/>
                <w:color w:val="auto"/>
              </w:rPr>
            </w:pPr>
          </w:p>
        </w:tc>
        <w:tc>
          <w:tcPr>
            <w:tcW w:w="820" w:type="dxa"/>
            <w:vAlign w:val="bottom"/>
            <w:tcBorders>
              <w:top w:val="single" w:sz="8" w:color="2C6937"/>
            </w:tcBorders>
          </w:tcPr>
          <w:p>
            <w:pPr>
              <w:spacing w:after="0"/>
              <w:rPr>
                <w:sz w:val="12"/>
                <w:szCs w:val="12"/>
                <w:color w:val="auto"/>
              </w:rPr>
            </w:pPr>
          </w:p>
        </w:tc>
        <w:tc>
          <w:tcPr>
            <w:tcW w:w="140" w:type="dxa"/>
            <w:vAlign w:val="bottom"/>
            <w:tcBorders>
              <w:top w:val="single" w:sz="8" w:color="2C6937"/>
            </w:tcBorders>
          </w:tcPr>
          <w:p>
            <w:pPr>
              <w:spacing w:after="0"/>
              <w:rPr>
                <w:sz w:val="12"/>
                <w:szCs w:val="12"/>
                <w:color w:val="auto"/>
              </w:rPr>
            </w:pPr>
          </w:p>
        </w:tc>
        <w:tc>
          <w:tcPr>
            <w:tcW w:w="120" w:type="dxa"/>
            <w:vAlign w:val="bottom"/>
            <w:tcBorders>
              <w:top w:val="single" w:sz="8" w:color="2C6937"/>
            </w:tcBorders>
          </w:tcPr>
          <w:p>
            <w:pPr>
              <w:spacing w:after="0"/>
              <w:rPr>
                <w:sz w:val="12"/>
                <w:szCs w:val="12"/>
                <w:color w:val="auto"/>
              </w:rPr>
            </w:pPr>
          </w:p>
        </w:tc>
        <w:tc>
          <w:tcPr>
            <w:tcW w:w="2020" w:type="dxa"/>
            <w:vAlign w:val="bottom"/>
            <w:tcBorders>
              <w:top w:val="single" w:sz="8" w:color="2C6937"/>
            </w:tcBorders>
            <w:gridSpan w:val="5"/>
          </w:tcPr>
          <w:p>
            <w:pPr>
              <w:ind w:left="40"/>
              <w:spacing w:after="0" w:line="148" w:lineRule="exact"/>
              <w:rPr>
                <w:sz w:val="20"/>
                <w:szCs w:val="20"/>
                <w:color w:val="auto"/>
              </w:rPr>
            </w:pPr>
            <w:r>
              <w:rPr>
                <w:rFonts w:ascii="Arial" w:cs="Arial" w:eastAsia="Arial" w:hAnsi="Arial"/>
                <w:sz w:val="14"/>
                <w:szCs w:val="14"/>
                <w:b w:val="1"/>
                <w:bCs w:val="1"/>
                <w:color w:val="auto"/>
              </w:rPr>
              <w:t>For the Six Months Ended</w:t>
            </w:r>
          </w:p>
        </w:tc>
        <w:tc>
          <w:tcPr>
            <w:tcW w:w="160" w:type="dxa"/>
            <w:vAlign w:val="bottom"/>
            <w:tcBorders>
              <w:top w:val="single" w:sz="8" w:color="2C6937"/>
            </w:tcBorders>
          </w:tcPr>
          <w:p>
            <w:pPr>
              <w:spacing w:after="0"/>
              <w:rPr>
                <w:sz w:val="12"/>
                <w:szCs w:val="12"/>
                <w:color w:val="auto"/>
              </w:rPr>
            </w:pPr>
          </w:p>
        </w:tc>
        <w:tc>
          <w:tcPr>
            <w:tcW w:w="860" w:type="dxa"/>
            <w:vAlign w:val="bottom"/>
            <w:tcBorders>
              <w:top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12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2C6937"/>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ind w:right="24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ind w:right="243"/>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ind w:right="163"/>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5"/>
        </w:trPr>
        <w:tc>
          <w:tcPr>
            <w:tcW w:w="4800" w:type="dxa"/>
            <w:vAlign w:val="bottom"/>
            <w:gridSpan w:val="2"/>
            <w:vMerge w:val="restart"/>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20"/>
                <w:szCs w:val="20"/>
                <w:color w:val="auto"/>
                <w:vertAlign w:val="superscript"/>
              </w:rPr>
              <w:t>(2)</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tcPr>
          <w:p>
            <w:pPr>
              <w:ind w:left="26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800" w:type="dxa"/>
            <w:vAlign w:val="bottom"/>
            <w:gridSpan w:val="2"/>
            <w:vMerge w:val="continue"/>
          </w:tcPr>
          <w:p>
            <w:pPr>
              <w:spacing w:after="0"/>
              <w:rPr>
                <w:sz w:val="17"/>
                <w:szCs w:val="17"/>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6,096</w:t>
            </w:r>
          </w:p>
        </w:tc>
        <w:tc>
          <w:tcPr>
            <w:tcW w:w="14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5,917</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179</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11,970</w:t>
            </w:r>
          </w:p>
        </w:tc>
        <w:tc>
          <w:tcPr>
            <w:tcW w:w="10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11,589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381</w:t>
            </w:r>
          </w:p>
        </w:tc>
        <w:tc>
          <w:tcPr>
            <w:tcW w:w="0" w:type="dxa"/>
            <w:vAlign w:val="bottom"/>
          </w:tcPr>
          <w:p>
            <w:pPr>
              <w:spacing w:after="0"/>
              <w:rPr>
                <w:sz w:val="1"/>
                <w:szCs w:val="1"/>
                <w:color w:val="auto"/>
              </w:rPr>
            </w:pPr>
          </w:p>
        </w:tc>
      </w:tr>
      <w:tr>
        <w:trPr>
          <w:trHeight w:val="208"/>
        </w:trPr>
        <w:tc>
          <w:tcPr>
            <w:tcW w:w="47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Fee and other income</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51</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52</w:t>
            </w:r>
          </w:p>
        </w:tc>
        <w:tc>
          <w:tcPr>
            <w:tcW w:w="14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106</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98"/>
        </w:trPr>
        <w:tc>
          <w:tcPr>
            <w:tcW w:w="480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6,147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5,969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178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12,076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11,689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387</w:t>
            </w:r>
          </w:p>
        </w:tc>
        <w:tc>
          <w:tcPr>
            <w:tcW w:w="0" w:type="dxa"/>
            <w:vAlign w:val="bottom"/>
          </w:tcPr>
          <w:p>
            <w:pPr>
              <w:spacing w:after="0"/>
              <w:rPr>
                <w:sz w:val="1"/>
                <w:szCs w:val="1"/>
                <w:color w:val="auto"/>
              </w:rPr>
            </w:pPr>
          </w:p>
        </w:tc>
      </w:tr>
      <w:tr>
        <w:trPr>
          <w:trHeight w:val="206"/>
        </w:trPr>
        <w:tc>
          <w:tcPr>
            <w:tcW w:w="480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(70)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27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(57)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06"/>
        </w:trPr>
        <w:tc>
          <w:tcPr>
            <w:tcW w:w="480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454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460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938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626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312</w:t>
            </w:r>
          </w:p>
        </w:tc>
        <w:tc>
          <w:tcPr>
            <w:tcW w:w="0" w:type="dxa"/>
            <w:vAlign w:val="bottom"/>
          </w:tcPr>
          <w:p>
            <w:pPr>
              <w:spacing w:after="0"/>
              <w:rPr>
                <w:sz w:val="1"/>
                <w:szCs w:val="1"/>
                <w:color w:val="auto"/>
              </w:rPr>
            </w:pPr>
          </w:p>
        </w:tc>
      </w:tr>
      <w:tr>
        <w:trPr>
          <w:trHeight w:val="206"/>
        </w:trPr>
        <w:tc>
          <w:tcPr>
            <w:tcW w:w="480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(784)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(718)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(1,561)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197"/>
        </w:trPr>
        <w:tc>
          <w:tcPr>
            <w:tcW w:w="4800" w:type="dxa"/>
            <w:vAlign w:val="bottom"/>
            <w:gridSpan w:val="2"/>
          </w:tcPr>
          <w:p>
            <w:pPr>
              <w:ind w:left="20"/>
              <w:spacing w:after="0"/>
              <w:rPr>
                <w:sz w:val="20"/>
                <w:szCs w:val="20"/>
                <w:color w:val="auto"/>
              </w:rPr>
            </w:pPr>
            <w:r>
              <w:rPr>
                <w:rFonts w:ascii="Arial" w:cs="Arial" w:eastAsia="Arial" w:hAnsi="Arial"/>
                <w:sz w:val="15"/>
                <w:szCs w:val="15"/>
                <w:color w:val="auto"/>
              </w:rPr>
              <w:t>Benefit (provision) for credit losses</w:t>
            </w: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548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1,418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(870)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883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1,465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(582)</w:t>
            </w:r>
          </w:p>
        </w:tc>
        <w:tc>
          <w:tcPr>
            <w:tcW w:w="0" w:type="dxa"/>
            <w:vAlign w:val="bottom"/>
          </w:tcPr>
          <w:p>
            <w:pPr>
              <w:spacing w:after="0"/>
              <w:rPr>
                <w:sz w:val="1"/>
                <w:szCs w:val="1"/>
                <w:color w:val="auto"/>
              </w:rPr>
            </w:pPr>
          </w:p>
        </w:tc>
      </w:tr>
      <w:tr>
        <w:trPr>
          <w:trHeight w:val="216"/>
        </w:trPr>
        <w:tc>
          <w:tcPr>
            <w:tcW w:w="4800" w:type="dxa"/>
            <w:vAlign w:val="bottom"/>
            <w:gridSpan w:val="2"/>
          </w:tcPr>
          <w:p>
            <w:pPr>
              <w:ind w:left="20"/>
              <w:spacing w:after="0" w:line="216" w:lineRule="exact"/>
              <w:rPr>
                <w:sz w:val="20"/>
                <w:szCs w:val="20"/>
                <w:color w:val="auto"/>
              </w:rPr>
            </w:pPr>
            <w:r>
              <w:rPr>
                <w:rFonts w:ascii="Arial" w:cs="Arial" w:eastAsia="Arial" w:hAnsi="Arial"/>
                <w:sz w:val="15"/>
                <w:szCs w:val="15"/>
                <w:color w:val="auto"/>
              </w:rPr>
              <w:t>TCCA fees</w:t>
            </w:r>
            <w:r>
              <w:rPr>
                <w:rFonts w:ascii="Arial" w:cs="Arial" w:eastAsia="Arial" w:hAnsi="Arial"/>
                <w:sz w:val="20"/>
                <w:szCs w:val="20"/>
                <w:color w:val="auto"/>
                <w:vertAlign w:val="superscript"/>
              </w:rPr>
              <w:t>(2)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(859)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(1,719)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0"/>
        </w:trPr>
        <w:tc>
          <w:tcPr>
            <w:tcW w:w="4800" w:type="dxa"/>
            <w:vAlign w:val="bottom"/>
            <w:gridSpan w:val="2"/>
          </w:tcPr>
          <w:p>
            <w:pPr>
              <w:ind w:left="20"/>
              <w:spacing w:after="0"/>
              <w:rPr>
                <w:sz w:val="20"/>
                <w:szCs w:val="20"/>
                <w:color w:val="auto"/>
              </w:rPr>
            </w:pPr>
            <w:r>
              <w:rPr>
                <w:rFonts w:ascii="Arial" w:cs="Arial" w:eastAsia="Arial" w:hAnsi="Arial"/>
                <w:sz w:val="15"/>
                <w:szCs w:val="15"/>
                <w:color w:val="auto"/>
              </w:rPr>
              <w:t>Credit enhancement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(333)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(686)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19"/>
        </w:trPr>
        <w:tc>
          <w:tcPr>
            <w:tcW w:w="4800" w:type="dxa"/>
            <w:vAlign w:val="bottom"/>
            <w:gridSpan w:val="2"/>
          </w:tcPr>
          <w:p>
            <w:pPr>
              <w:ind w:left="20"/>
              <w:spacing w:after="0" w:line="219" w:lineRule="exact"/>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20"/>
                <w:szCs w:val="20"/>
                <w:color w:val="auto"/>
                <w:vertAlign w:val="superscript"/>
              </w:rPr>
              <w:t>(3)</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(223)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176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17"/>
        </w:trPr>
        <w:tc>
          <w:tcPr>
            <w:tcW w:w="4700" w:type="dxa"/>
            <w:vAlign w:val="bottom"/>
            <w:tcBorders>
              <w:bottom w:val="single" w:sz="8" w:color="2C6937"/>
            </w:tcBorders>
          </w:tcPr>
          <w:p>
            <w:pPr>
              <w:ind w:left="20"/>
              <w:spacing w:after="0" w:line="217" w:lineRule="exact"/>
              <w:rPr>
                <w:sz w:val="20"/>
                <w:szCs w:val="20"/>
                <w:color w:val="auto"/>
              </w:rPr>
            </w:pPr>
            <w:r>
              <w:rPr>
                <w:rFonts w:ascii="Arial" w:cs="Arial" w:eastAsia="Arial" w:hAnsi="Arial"/>
                <w:sz w:val="15"/>
                <w:szCs w:val="15"/>
                <w:color w:val="auto"/>
              </w:rPr>
              <w:t>Other expenses, net</w:t>
            </w:r>
            <w:r>
              <w:rPr>
                <w:rFonts w:ascii="Arial" w:cs="Arial" w:eastAsia="Arial" w:hAnsi="Arial"/>
                <w:sz w:val="20"/>
                <w:szCs w:val="20"/>
                <w:color w:val="auto"/>
                <w:vertAlign w:val="superscript"/>
              </w:rPr>
              <w:t>(4)</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(218)</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(203)</w:t>
            </w:r>
          </w:p>
        </w:tc>
        <w:tc>
          <w:tcPr>
            <w:tcW w:w="14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w:t>
            </w: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(394)</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(319)</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98"/>
        </w:trPr>
        <w:tc>
          <w:tcPr>
            <w:tcW w:w="480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4,838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5,547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9,391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9,526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208"/>
        </w:trPr>
        <w:tc>
          <w:tcPr>
            <w:tcW w:w="47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(983)</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(1,153)</w:t>
            </w:r>
          </w:p>
        </w:tc>
        <w:tc>
          <w:tcPr>
            <w:tcW w:w="14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170</w:t>
            </w: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(1,929)</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(2,000)</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199"/>
        </w:trPr>
        <w:tc>
          <w:tcPr>
            <w:tcW w:w="480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3,855</w:t>
            </w:r>
          </w:p>
        </w:tc>
        <w:tc>
          <w:tcPr>
            <w:tcW w:w="14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4,394</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(539)</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7,462</w:t>
            </w:r>
          </w:p>
        </w:tc>
        <w:tc>
          <w:tcPr>
            <w:tcW w:w="10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7,526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0"/>
        </w:trPr>
        <w:tc>
          <w:tcPr>
            <w:tcW w:w="47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27"/>
        </w:numPr>
        <w:rPr>
          <w:rFonts w:ascii="Arial" w:cs="Arial" w:eastAsia="Arial" w:hAnsi="Arial"/>
          <w:sz w:val="9"/>
          <w:szCs w:val="9"/>
          <w:color w:val="auto"/>
        </w:rPr>
      </w:pPr>
      <w:r>
        <w:rPr>
          <w:rFonts w:ascii="Arial" w:cs="Arial" w:eastAsia="Arial" w:hAnsi="Arial"/>
          <w:sz w:val="14"/>
          <w:szCs w:val="14"/>
          <w:color w:val="auto"/>
        </w:rPr>
        <w:t>See “Note 10, Segment Reporting” for information about our segment allocation methodology.</w:t>
      </w:r>
    </w:p>
    <w:p>
      <w:pPr>
        <w:spacing w:after="0" w:line="45" w:lineRule="exact"/>
        <w:rPr>
          <w:rFonts w:ascii="Arial" w:cs="Arial" w:eastAsia="Arial" w:hAnsi="Arial"/>
          <w:sz w:val="9"/>
          <w:szCs w:val="9"/>
          <w:color w:val="auto"/>
        </w:rPr>
      </w:pPr>
    </w:p>
    <w:p>
      <w:pPr>
        <w:ind w:left="240" w:right="200" w:hanging="237"/>
        <w:spacing w:after="0" w:line="226" w:lineRule="auto"/>
        <w:tabs>
          <w:tab w:leader="none" w:pos="233"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Reflects the impact of a 10 basis point guaranty fee increase implemented pursuant to the TCCA, the incremental revenue from which is paid to Treasury. The resulting revenue is included in “Net interest income” and the expense is recognized as “TCCA fees.”</w:t>
      </w:r>
    </w:p>
    <w:p>
      <w:pPr>
        <w:spacing w:after="0" w:line="27" w:lineRule="exact"/>
        <w:rPr>
          <w:rFonts w:ascii="Arial" w:cs="Arial" w:eastAsia="Arial" w:hAnsi="Arial"/>
          <w:sz w:val="18"/>
          <w:szCs w:val="18"/>
          <w:color w:val="auto"/>
          <w:vertAlign w:val="superscript"/>
        </w:rPr>
      </w:pPr>
    </w:p>
    <w:p>
      <w:pPr>
        <w:ind w:left="240" w:right="420" w:hanging="237"/>
        <w:spacing w:after="0" w:line="226" w:lineRule="auto"/>
        <w:tabs>
          <w:tab w:leader="none" w:pos="233"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Includes estimated changes in benefits, as well as any realized amounts, from our single-family freestanding credit enhancements, which primarily relate to our CAS and CIRT programs.</w:t>
      </w:r>
    </w:p>
    <w:p>
      <w:pPr>
        <w:spacing w:after="0" w:line="14" w:lineRule="exact"/>
        <w:rPr>
          <w:rFonts w:ascii="Arial" w:cs="Arial" w:eastAsia="Arial" w:hAnsi="Arial"/>
          <w:sz w:val="18"/>
          <w:szCs w:val="18"/>
          <w:color w:val="auto"/>
          <w:vertAlign w:val="superscript"/>
        </w:rPr>
      </w:pPr>
    </w:p>
    <w:p>
      <w:pPr>
        <w:ind w:left="240" w:right="440" w:hanging="237"/>
        <w:spacing w:after="0" w:line="278" w:lineRule="auto"/>
        <w:tabs>
          <w:tab w:leader="none" w:pos="233" w:val="left"/>
        </w:tabs>
        <w:numPr>
          <w:ilvl w:val="0"/>
          <w:numId w:val="27"/>
        </w:numPr>
        <w:rPr>
          <w:rFonts w:ascii="Arial" w:cs="Arial" w:eastAsia="Arial" w:hAnsi="Arial"/>
          <w:sz w:val="9"/>
          <w:szCs w:val="9"/>
          <w:color w:val="auto"/>
        </w:rPr>
      </w:pPr>
      <w:r>
        <w:rPr>
          <w:rFonts w:ascii="Arial" w:cs="Arial" w:eastAsia="Arial" w:hAnsi="Arial"/>
          <w:sz w:val="14"/>
          <w:szCs w:val="14"/>
          <w:color w:val="auto"/>
        </w:rPr>
        <w:t>Includes debt extinguishment gains and losses, expenses associated with legal claims, foreclosed property income (expense), gains and losses from partnership investments, housing trust fund expenses, loan subservicing costs, and servicer fees paid in connection with certain loss mitigation activities.</w:t>
      </w:r>
    </w:p>
    <w:p>
      <w:pPr>
        <w:spacing w:after="0" w:line="6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Net Interest Income</w:t>
      </w:r>
    </w:p>
    <w:p>
      <w:pPr>
        <w:spacing w:after="0" w:line="8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increase in single-family net interest income for the second quarter of 2024 compared with the second quarter of 2023 was primarily as a result of lower expense from hedge accounting, higher base guaranty fee income and higher net interest income from portfolios.</w:t>
      </w:r>
    </w:p>
    <w:p>
      <w:pPr>
        <w:spacing w:after="0" w:line="1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increase in single-family net interest income for the first half of 2024 compared with the first half of 2023 was primarily as a result of higher net interest income from portfolios and higher base guaranty fee income.</w:t>
      </w:r>
    </w:p>
    <w:p>
      <w:pPr>
        <w:spacing w:after="0" w:line="15"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The drivers of net interest income for the Single-Family segment are consistent with the drivers of net interest income in our condensed consolidated statements of operations and comprehensive income. See “Consolidated Results of Operations—Net Interest Income” for more information on the factors that impact our single-family net interest income.</w:t>
      </w:r>
    </w:p>
    <w:p>
      <w:pPr>
        <w:spacing w:after="0" w:line="6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Fair Value Gains (Losses), Net</w:t>
      </w:r>
    </w:p>
    <w:p>
      <w:pPr>
        <w:spacing w:after="0" w:line="67"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Fair value gains, net in the second quarter and first half of 2024 were primarily driven by rising interest rates, which drove gains on risk management derivatives and mortgage commitment derivatives. Also contributing to fair value gains, net in the second quarter of 2024 were fair value gains on trading securities.</w:t>
      </w:r>
    </w:p>
    <w:p>
      <w:pPr>
        <w:spacing w:after="0" w:line="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Fair value gains, net in the second quarter of 2023 were primarily driven by gains on risk management derivatives and long-term debt of consolidated trusts held at fair value, partially offset by losses on trading securities.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Fair value gains, net in the first half of 2023 were primarily driven by gains on risk management derivatives.</w:t>
      </w:r>
    </w:p>
    <w:p>
      <w:pPr>
        <w:spacing w:after="0" w:line="100"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The drivers of fair value gains and losses for the Single-Family segment are consistent with the drivers of fair value gains and losses in our condensed consolidated statements of operations and comprehensive income, which we discuss in “Consolidated Results of Operations—Fair Value Gains (Losses), Net.”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21</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4" w:name="page25"/>
    <w:bookmarkEnd w:id="24"/>
    <w:p>
      <w:pPr>
        <w:ind w:left="6560"/>
        <w:spacing w:after="0"/>
        <w:rPr>
          <w:sz w:val="20"/>
          <w:szCs w:val="20"/>
          <w:color w:val="auto"/>
        </w:rPr>
      </w:pPr>
      <w:r>
        <w:rPr>
          <w:rFonts w:ascii="Arial" w:cs="Arial" w:eastAsia="Arial" w:hAnsi="Arial"/>
          <w:sz w:val="14"/>
          <w:szCs w:val="14"/>
          <w:color w:val="05314D"/>
        </w:rPr>
        <w:t>MD&amp;A | Single-Family Business | Single-Family Business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Benefit (Provision) for Credit Losses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See “Consolidated Results of Operations—Benefit (Provision) for Credit Losses” for a discussion of our single-family benefit for credit losses.</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 Credit Risk Management</w:t>
      </w:r>
    </w:p>
    <w:p>
      <w:pPr>
        <w:spacing w:after="0" w:line="63" w:lineRule="exact"/>
        <w:rPr>
          <w:sz w:val="20"/>
          <w:szCs w:val="20"/>
          <w:color w:val="auto"/>
        </w:rPr>
      </w:pPr>
    </w:p>
    <w:p>
      <w:pPr>
        <w:ind w:right="400"/>
        <w:spacing w:after="0" w:line="272" w:lineRule="auto"/>
        <w:rPr>
          <w:sz w:val="20"/>
          <w:szCs w:val="20"/>
          <w:color w:val="auto"/>
        </w:rPr>
      </w:pPr>
      <w:r>
        <w:rPr>
          <w:rFonts w:ascii="Arial" w:cs="Arial" w:eastAsia="Arial" w:hAnsi="Arial"/>
          <w:sz w:val="16"/>
          <w:szCs w:val="16"/>
          <w:color w:val="auto"/>
        </w:rPr>
        <w:t>This section updates our discussion of single-family mortgage credit risk management in our 2023 Form 10-K. For additional information on our single-family acquisition and servicing policies, underwriting and servicing standards, quality control process, repurchase requests, and representation and warranty framework, see “MD&amp;A—Single-Family Business—Single-Family Mortgage Credit Risk Management” in our 2023 Form 10-K.</w:t>
      </w:r>
    </w:p>
    <w:p>
      <w:pPr>
        <w:spacing w:after="0" w:line="87" w:lineRule="exact"/>
        <w:rPr>
          <w:sz w:val="20"/>
          <w:szCs w:val="20"/>
          <w:color w:val="auto"/>
        </w:rPr>
      </w:pPr>
    </w:p>
    <w:p>
      <w:pPr>
        <w:ind w:right="2100"/>
        <w:spacing w:after="0" w:line="338" w:lineRule="auto"/>
        <w:rPr>
          <w:sz w:val="20"/>
          <w:szCs w:val="20"/>
          <w:color w:val="auto"/>
        </w:rPr>
      </w:pPr>
      <w:r>
        <w:rPr>
          <w:rFonts w:ascii="Georgia" w:cs="Georgia" w:eastAsia="Georgia" w:hAnsi="Georgia"/>
          <w:sz w:val="19"/>
          <w:szCs w:val="19"/>
          <w:b w:val="1"/>
          <w:bCs w:val="1"/>
          <w:i w:val="1"/>
          <w:iCs w:val="1"/>
          <w:color w:val="05314D"/>
        </w:rPr>
        <w:t xml:space="preserve">Single-Family Acquisition and Servicing Policies and Underwriting and Servicing Standards </w:t>
      </w:r>
      <w:r>
        <w:rPr>
          <w:rFonts w:ascii="Georgia" w:cs="Georgia" w:eastAsia="Georgia" w:hAnsi="Georgia"/>
          <w:sz w:val="19"/>
          <w:szCs w:val="19"/>
          <w:i w:val="1"/>
          <w:iCs w:val="1"/>
          <w:color w:val="05314D"/>
        </w:rPr>
        <w:t>Desktop Underwriter Update</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As part of our comprehensive risk management approach, we periodically update our proprietary automated underwriting system, Desktop Underwriter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(“DU</w:t>
      </w:r>
      <w:r>
        <w:rPr>
          <w:rFonts w:ascii="Arial" w:cs="Arial" w:eastAsia="Arial" w:hAnsi="Arial"/>
          <w:sz w:val="21"/>
          <w:szCs w:val="21"/>
          <w:color w:val="auto"/>
          <w:vertAlign w:val="superscript"/>
        </w:rPr>
        <w:t>®</w:t>
      </w:r>
      <w:r>
        <w:rPr>
          <w:rFonts w:ascii="Arial" w:cs="Arial" w:eastAsia="Arial" w:hAnsi="Arial"/>
          <w:sz w:val="16"/>
          <w:szCs w:val="16"/>
          <w:color w:val="auto"/>
        </w:rPr>
        <w:t>”), to reflect changes to our underwriting and eligibility guidelines. In March 2024, we implemented updates to DU to allow lenders to use a single 12-month asset verification report in the DU validation service to identify recurring deposits in the applicant’s digital bank statement data to automatically validate income and employment, as well as assets, in one step. The same report also can be used to identify and consider the applicant’s positive rent payment and cash flow history. We believe this update may help lenders improve operational efficiency and lower costs, as well as potentially increase the number of borrowers that receive an approve/eligible recommendation in DU by assessing eligibility through rent payment identification and cash flow assessment. We will continue to closely monitor loan acquisitions and market conditions and, as appropriate, make changes to DU, including its eligibility criteria, so that the loans we acquire are consistent with our risk appetite and mission.</w:t>
      </w:r>
    </w:p>
    <w:p>
      <w:pPr>
        <w:spacing w:after="0" w:line="9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New Credit Score Models and Credit Report Requirements</w:t>
      </w:r>
    </w:p>
    <w:p>
      <w:pPr>
        <w:spacing w:after="0" w:line="80" w:lineRule="exact"/>
        <w:rPr>
          <w:sz w:val="20"/>
          <w:szCs w:val="20"/>
          <w:color w:val="auto"/>
        </w:rPr>
      </w:pPr>
    </w:p>
    <w:p>
      <w:pPr>
        <w:ind w:right="360"/>
        <w:spacing w:after="0" w:line="263" w:lineRule="auto"/>
        <w:rPr>
          <w:sz w:val="20"/>
          <w:szCs w:val="20"/>
          <w:color w:val="auto"/>
        </w:rPr>
      </w:pPr>
      <w:r>
        <w:rPr>
          <w:rFonts w:ascii="Arial" w:cs="Arial" w:eastAsia="Arial" w:hAnsi="Arial"/>
          <w:sz w:val="16"/>
          <w:szCs w:val="16"/>
          <w:color w:val="auto"/>
        </w:rPr>
        <w:t>Fannie Mae uses credit scores to establish a minimum credit threshold for mortgage lending, provide a foundation for risk-based pricing, and support disclosures to investors. We currently use the “classic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Score” from Fair Isaac Corporation as our credit score model, which FHFA has approved.</w:t>
      </w:r>
    </w:p>
    <w:p>
      <w:pPr>
        <w:spacing w:after="0" w:line="1" w:lineRule="exact"/>
        <w:rPr>
          <w:sz w:val="20"/>
          <w:szCs w:val="20"/>
          <w:color w:val="auto"/>
        </w:rPr>
      </w:pPr>
    </w:p>
    <w:p>
      <w:pPr>
        <w:ind w:right="40"/>
        <w:spacing w:after="0" w:line="232" w:lineRule="auto"/>
        <w:rPr>
          <w:sz w:val="20"/>
          <w:szCs w:val="20"/>
          <w:color w:val="auto"/>
        </w:rPr>
      </w:pPr>
      <w:r>
        <w:rPr>
          <w:rFonts w:ascii="Arial" w:cs="Arial" w:eastAsia="Arial" w:hAnsi="Arial"/>
          <w:sz w:val="16"/>
          <w:szCs w:val="16"/>
          <w:color w:val="auto"/>
        </w:rPr>
        <w:t>In October 2022, FHFA announced the validation and approval of two new credit score models for use by Fannie Mae and Freddie Mac: the FICO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Score 10 T credit score model and the VantageScore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4.0 credit score model. Once implemented, lenders will be required to deliver both FICO Score 10 T and VantageScore 4.0 credit scores with each loan sold to us when available, replacing the classic FICO Score model. FHFA also announced in October 2022 that Fannie Mae and Freddie Mac will work toward changing the requirement that lenders provide credit reports from all three nationwide consumer reporting agencies. Instead, we will require lenders to provide credit reports from at least two of the three nationwide consumer reporting agencies (referred to as the new bi-merge credit reporting requirements).</w:t>
      </w:r>
    </w:p>
    <w:p>
      <w:pPr>
        <w:spacing w:after="0" w:line="57"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In February 2024, FHFA announced updates regarding the implementation of the new credit score requirements for loans acquired by Fannie Mae and Freddie Mac, as well as the new bi-merge credit reporting requirements. FHFA announced that the implementation dates for both new requirements would be aligned and expected to occur in the fourth quarter of 2025. FHFA also announced that, to better support market participants with this transition, Fannie Mae and Freddie Mac would accelerate the publication of VantageScore 4.0 historical data to early in the third quarter of 2024, and in July 2024 this historical data was made available. The FHFA Director stated that synchronizing bi-merge credit reporting with the implementation of the new credit score model requirements will reduce complexity for market participants.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22</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5" w:name="page26"/>
    <w:bookmarkEnd w:id="25"/>
    <w:p>
      <w:pPr>
        <w:jc w:val="right"/>
        <w:ind w:right="12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Guaranty Book Diversification and Monitoring</w:t>
      </w:r>
    </w:p>
    <w:p>
      <w:pPr>
        <w:spacing w:after="0" w:line="106"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The following table displays our single-family conventional business volumes and our single-family conventional guaranty book of business, based on certain key risk characteristics that we use to evaluate the risk profile and credit quality of our single-family loans. For a description of the key risk characteristics of our single-family conventional guaranty book of business, see “MD&amp;A—Single-Family Business—Single-Family Mortgage Credit Risk Management—Single-Family Guaranty Book Diversification and Monitoring—Overview” in our 2023 Form 10-K.</w:t>
      </w:r>
    </w:p>
    <w:p>
      <w:pPr>
        <w:spacing w:after="0" w:line="35" w:lineRule="exact"/>
        <w:rPr>
          <w:sz w:val="20"/>
          <w:szCs w:val="20"/>
          <w:color w:val="auto"/>
        </w:rPr>
      </w:pPr>
    </w:p>
    <w:p>
      <w:pPr>
        <w:jc w:val="both"/>
        <w:ind w:right="620"/>
        <w:spacing w:after="0" w:line="281" w:lineRule="auto"/>
        <w:rPr>
          <w:sz w:val="20"/>
          <w:szCs w:val="20"/>
          <w:color w:val="auto"/>
        </w:rPr>
      </w:pPr>
      <w:r>
        <w:rPr>
          <w:rFonts w:ascii="Arial" w:cs="Arial" w:eastAsia="Arial" w:hAnsi="Arial"/>
          <w:sz w:val="16"/>
          <w:szCs w:val="16"/>
          <w:color w:val="auto"/>
        </w:rPr>
        <w:t>We provide additional information on the credit characteristics of our single-family loans in quarterly financial supplements, which we furnish to the Securities and Exchange Commission (the “SEC”) with current reports on Form 8-K and make available on our website. Information in our quarterly financial supplements is not incorporated by reference into this report.</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6" w:name="page27"/>
    <w:bookmarkEnd w:id="26"/>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Single-Family Conventional Business Volume and Guaranty Book of Business</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0" w:type="dxa"/>
            <w:vAlign w:val="bottom"/>
            <w:gridSpan w:val="10"/>
          </w:tcPr>
          <w:p>
            <w:pPr>
              <w:jc w:val="center"/>
              <w:ind w:right="31"/>
              <w:spacing w:after="0"/>
              <w:rPr>
                <w:sz w:val="20"/>
                <w:szCs w:val="20"/>
                <w:color w:val="auto"/>
              </w:rPr>
            </w:pPr>
            <w:r>
              <w:rPr>
                <w:rFonts w:ascii="Arial" w:cs="Arial" w:eastAsia="Arial" w:hAnsi="Arial"/>
                <w:sz w:val="14"/>
                <w:szCs w:val="14"/>
                <w:b w:val="1"/>
                <w:bCs w:val="1"/>
                <w:color w:val="auto"/>
                <w:w w:val="98"/>
              </w:rPr>
              <w:t>Percent of Single-Family Conventional Business Volume at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3"/>
          </w:tcPr>
          <w:p>
            <w:pPr>
              <w:jc w:val="center"/>
              <w:ind w:left="331"/>
              <w:spacing w:after="0"/>
              <w:rPr>
                <w:sz w:val="20"/>
                <w:szCs w:val="20"/>
                <w:color w:val="auto"/>
              </w:rPr>
            </w:pPr>
            <w:r>
              <w:rPr>
                <w:rFonts w:ascii="Arial" w:cs="Arial" w:eastAsia="Arial" w:hAnsi="Arial"/>
                <w:sz w:val="14"/>
                <w:szCs w:val="14"/>
                <w:b w:val="1"/>
                <w:bCs w:val="1"/>
                <w:color w:val="auto"/>
                <w:w w:val="95"/>
              </w:rPr>
              <w:t>Acquisition</w:t>
            </w:r>
            <w:r>
              <w:rPr>
                <w:rFonts w:ascii="Arial" w:cs="Arial" w:eastAsia="Arial" w:hAnsi="Arial"/>
                <w:sz w:val="17"/>
                <w:szCs w:val="17"/>
                <w:b w:val="1"/>
                <w:bCs w:val="1"/>
                <w:color w:val="auto"/>
                <w:w w:val="95"/>
                <w:vertAlign w:val="superscript"/>
              </w:rPr>
              <w:t>(2)</w:t>
            </w:r>
          </w:p>
        </w:tc>
        <w:tc>
          <w:tcPr>
            <w:tcW w:w="620" w:type="dxa"/>
            <w:vAlign w:val="bottom"/>
            <w:tcBorders>
              <w:bottom w:val="single" w:sz="8" w:color="2C6937"/>
            </w:tcBorders>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8"/>
              </w:rPr>
              <w:t>Percent of Single-Family Conventional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4"/>
            <w:vMerge w:val="restart"/>
          </w:tcPr>
          <w:p>
            <w:pPr>
              <w:jc w:val="center"/>
              <w:ind w:right="51"/>
              <w:spacing w:after="0"/>
              <w:rPr>
                <w:sz w:val="20"/>
                <w:szCs w:val="20"/>
                <w:color w:val="auto"/>
              </w:rPr>
            </w:pPr>
            <w:r>
              <w:rPr>
                <w:rFonts w:ascii="Arial" w:cs="Arial" w:eastAsia="Arial" w:hAnsi="Arial"/>
                <w:sz w:val="14"/>
                <w:szCs w:val="14"/>
                <w:b w:val="1"/>
                <w:bCs w:val="1"/>
                <w:color w:val="auto"/>
                <w:w w:val="97"/>
              </w:rPr>
              <w:t>For the Three Months Ended</w:t>
            </w:r>
          </w:p>
        </w:tc>
        <w:tc>
          <w:tcPr>
            <w:tcW w:w="240" w:type="dxa"/>
            <w:vAlign w:val="bottom"/>
          </w:tcPr>
          <w:p>
            <w:pPr>
              <w:spacing w:after="0" w:line="20" w:lineRule="exact"/>
              <w:rPr>
                <w:sz w:val="1"/>
                <w:szCs w:val="1"/>
                <w:color w:val="auto"/>
              </w:rPr>
            </w:pPr>
          </w:p>
        </w:tc>
        <w:tc>
          <w:tcPr>
            <w:tcW w:w="21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9"/>
              </w:rPr>
              <w:t>For the Six Months Ended June</w:t>
            </w: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40" w:type="dxa"/>
            <w:vAlign w:val="bottom"/>
            <w:gridSpan w:val="4"/>
          </w:tcPr>
          <w:p>
            <w:pPr>
              <w:jc w:val="center"/>
              <w:spacing w:after="0" w:line="141" w:lineRule="exact"/>
              <w:rPr>
                <w:sz w:val="20"/>
                <w:szCs w:val="20"/>
                <w:color w:val="auto"/>
              </w:rPr>
            </w:pPr>
            <w:r>
              <w:rPr>
                <w:rFonts w:ascii="Arial" w:cs="Arial" w:eastAsia="Arial" w:hAnsi="Arial"/>
                <w:sz w:val="13"/>
                <w:szCs w:val="13"/>
                <w:b w:val="1"/>
                <w:bCs w:val="1"/>
                <w:color w:val="auto"/>
              </w:rPr>
              <w:t>Guaranty Book of Business</w:t>
            </w:r>
            <w:r>
              <w:rPr>
                <w:rFonts w:ascii="Arial" w:cs="Arial" w:eastAsia="Arial" w:hAnsi="Arial"/>
                <w:sz w:val="16"/>
                <w:szCs w:val="16"/>
                <w:b w:val="1"/>
                <w:bCs w:val="1"/>
                <w:color w:val="auto"/>
                <w:vertAlign w:val="superscript"/>
              </w:rPr>
              <w:t>(3)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gridSpan w:val="3"/>
          </w:tcPr>
          <w:p>
            <w:pPr>
              <w:jc w:val="center"/>
              <w:ind w:left="531"/>
              <w:spacing w:after="0"/>
              <w:rPr>
                <w:sz w:val="20"/>
                <w:szCs w:val="20"/>
                <w:color w:val="auto"/>
              </w:rPr>
            </w:pPr>
            <w:r>
              <w:rPr>
                <w:rFonts w:ascii="Arial" w:cs="Arial" w:eastAsia="Arial" w:hAnsi="Arial"/>
                <w:sz w:val="14"/>
                <w:szCs w:val="14"/>
                <w:b w:val="1"/>
                <w:bCs w:val="1"/>
                <w:color w:val="auto"/>
                <w:w w:val="99"/>
              </w:rPr>
              <w:t>June 30,</w:t>
            </w:r>
          </w:p>
        </w:tc>
        <w:tc>
          <w:tcPr>
            <w:tcW w:w="700" w:type="dxa"/>
            <w:vAlign w:val="bottom"/>
            <w:tcBorders>
              <w:bottom w:val="single" w:sz="8" w:color="2C6937"/>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tcPr>
          <w:p>
            <w:pPr>
              <w:spacing w:after="0"/>
              <w:rPr>
                <w:sz w:val="15"/>
                <w:szCs w:val="15"/>
                <w:color w:val="auto"/>
              </w:rPr>
            </w:pPr>
          </w:p>
        </w:tc>
        <w:tc>
          <w:tcPr>
            <w:tcW w:w="2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bottom w:val="single" w:sz="8" w:color="2C6937"/>
            </w:tcBorders>
          </w:tcPr>
          <w:p>
            <w:pPr>
              <w:spacing w:after="0"/>
              <w:rPr>
                <w:sz w:val="15"/>
                <w:szCs w:val="15"/>
                <w:color w:val="auto"/>
              </w:rPr>
            </w:pPr>
          </w:p>
        </w:tc>
        <w:tc>
          <w:tcPr>
            <w:tcW w:w="740" w:type="dxa"/>
            <w:vAlign w:val="bottom"/>
            <w:tcBorders>
              <w:bottom w:val="single" w:sz="8" w:color="2C6937"/>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7"/>
              </w:rPr>
              <w:t>As of</w:t>
            </w:r>
          </w:p>
        </w:tc>
        <w:tc>
          <w:tcPr>
            <w:tcW w:w="1460" w:type="dxa"/>
            <w:vAlign w:val="bottom"/>
            <w:tcBorders>
              <w:bottom w:val="single" w:sz="8" w:color="2C6937"/>
            </w:tcBorders>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w w:val="89"/>
              </w:rPr>
              <w:t>2024</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tcPr>
          <w:p>
            <w:pPr>
              <w:jc w:val="right"/>
              <w:ind w:right="331"/>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46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w w:val="98"/>
              </w:rPr>
              <w:t>December 31, 2023</w:t>
            </w:r>
          </w:p>
        </w:tc>
        <w:tc>
          <w:tcPr>
            <w:tcW w:w="40" w:type="dxa"/>
            <w:vAlign w:val="bottom"/>
            <w:tcBorders>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4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Original LTV ratio:</w:t>
            </w:r>
            <w:r>
              <w:rPr>
                <w:rFonts w:ascii="Arial" w:cs="Arial" w:eastAsia="Arial" w:hAnsi="Arial"/>
                <w:sz w:val="17"/>
                <w:szCs w:val="17"/>
                <w:b w:val="1"/>
                <w:bCs w:val="1"/>
                <w:color w:val="auto"/>
                <w:vertAlign w:val="superscript"/>
              </w:rPr>
              <w:t>(4)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25</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90.01% to 95%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95.01% to 100%</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2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12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4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bottom w:val="single" w:sz="8" w:color="CBC8C3"/>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54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00" w:type="dxa"/>
            <w:vAlign w:val="bottom"/>
            <w:shd w:val="clear" w:color="auto" w:fill="CBC8C3"/>
          </w:tcPr>
          <w:p>
            <w:pPr>
              <w:spacing w:after="0"/>
              <w:rPr>
                <w:sz w:val="18"/>
                <w:szCs w:val="18"/>
                <w:color w:val="auto"/>
              </w:rPr>
            </w:pPr>
          </w:p>
        </w:tc>
        <w:tc>
          <w:tcPr>
            <w:tcW w:w="8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40" w:type="dxa"/>
            <w:vAlign w:val="bottom"/>
            <w:shd w:val="clear" w:color="auto" w:fill="CBC8C3"/>
          </w:tcPr>
          <w:p>
            <w:pPr>
              <w:spacing w:after="0"/>
              <w:rPr>
                <w:sz w:val="18"/>
                <w:szCs w:val="18"/>
                <w:color w:val="auto"/>
              </w:rPr>
            </w:pPr>
          </w:p>
        </w:tc>
        <w:tc>
          <w:tcPr>
            <w:tcW w:w="70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320" w:type="dxa"/>
            <w:vAlign w:val="bottom"/>
            <w:shd w:val="clear" w:color="auto" w:fill="CBC8C3"/>
          </w:tcPr>
          <w:p>
            <w:pPr>
              <w:spacing w:after="0"/>
              <w:rPr>
                <w:sz w:val="18"/>
                <w:szCs w:val="18"/>
                <w:color w:val="auto"/>
              </w:rPr>
            </w:pPr>
          </w:p>
        </w:tc>
        <w:tc>
          <w:tcPr>
            <w:tcW w:w="62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78</w:t>
            </w:r>
          </w:p>
        </w:tc>
        <w:tc>
          <w:tcPr>
            <w:tcW w:w="26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BC8C3"/>
          </w:tcPr>
          <w:p>
            <w:pPr>
              <w:spacing w:after="0"/>
              <w:rPr>
                <w:sz w:val="18"/>
                <w:szCs w:val="18"/>
                <w:color w:val="auto"/>
              </w:rPr>
            </w:pPr>
          </w:p>
        </w:tc>
        <w:tc>
          <w:tcPr>
            <w:tcW w:w="7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78</w:t>
            </w:r>
          </w:p>
        </w:tc>
        <w:tc>
          <w:tcPr>
            <w:tcW w:w="260" w:type="dxa"/>
            <w:vAlign w:val="bottom"/>
            <w:shd w:val="clear" w:color="auto" w:fill="CBC8C3"/>
          </w:tcPr>
          <w:p>
            <w:pPr>
              <w:jc w:val="right"/>
              <w:ind w:right="11"/>
              <w:spacing w:after="0"/>
              <w:rPr>
                <w:sz w:val="20"/>
                <w:szCs w:val="20"/>
                <w:color w:val="auto"/>
              </w:rPr>
            </w:pPr>
            <w:r>
              <w:rPr>
                <w:rFonts w:ascii="Arial" w:cs="Arial" w:eastAsia="Arial" w:hAnsi="Arial"/>
                <w:sz w:val="14"/>
                <w:szCs w:val="14"/>
                <w:i w:val="1"/>
                <w:iCs w:val="1"/>
                <w:color w:val="auto"/>
              </w:rPr>
              <w:t>%</w:t>
            </w:r>
          </w:p>
        </w:tc>
        <w:tc>
          <w:tcPr>
            <w:tcW w:w="220" w:type="dxa"/>
            <w:vAlign w:val="bottom"/>
            <w:shd w:val="clear" w:color="auto" w:fill="CBC8C3"/>
          </w:tcPr>
          <w:p>
            <w:pPr>
              <w:spacing w:after="0"/>
              <w:rPr>
                <w:sz w:val="18"/>
                <w:szCs w:val="18"/>
                <w:color w:val="auto"/>
              </w:rPr>
            </w:pPr>
          </w:p>
        </w:tc>
        <w:tc>
          <w:tcPr>
            <w:tcW w:w="14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73</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73</w:t>
            </w:r>
          </w:p>
        </w:tc>
        <w:tc>
          <w:tcPr>
            <w:tcW w:w="280" w:type="dxa"/>
            <w:vAlign w:val="bottom"/>
            <w:gridSpan w:val="3"/>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18"/>
        </w:trPr>
        <w:tc>
          <w:tcPr>
            <w:tcW w:w="2640" w:type="dxa"/>
            <w:vAlign w:val="bottom"/>
            <w:gridSpan w:val="3"/>
          </w:tcPr>
          <w:p>
            <w:pPr>
              <w:ind w:left="20"/>
              <w:spacing w:after="0"/>
              <w:rPr>
                <w:sz w:val="20"/>
                <w:szCs w:val="20"/>
                <w:color w:val="auto"/>
              </w:rPr>
            </w:pPr>
            <w:r>
              <w:rPr>
                <w:rFonts w:ascii="Arial" w:cs="Arial" w:eastAsia="Arial" w:hAnsi="Arial"/>
                <w:sz w:val="14"/>
                <w:szCs w:val="14"/>
                <w:color w:val="auto"/>
              </w:rPr>
              <w:t>Average loan amount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332,720</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317,748</w:t>
            </w:r>
          </w:p>
        </w:tc>
        <w:tc>
          <w:tcPr>
            <w:tcW w:w="240" w:type="dxa"/>
            <w:vAlign w:val="bottom"/>
          </w:tcPr>
          <w:p>
            <w:pPr>
              <w:spacing w:after="0"/>
              <w:rPr>
                <w:sz w:val="18"/>
                <w:szCs w:val="18"/>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329,836</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316,117</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208,482</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207,883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gridSpan w:val="3"/>
          </w:tcPr>
          <w:p>
            <w:pPr>
              <w:ind w:left="20"/>
              <w:spacing w:after="0"/>
              <w:rPr>
                <w:sz w:val="20"/>
                <w:szCs w:val="20"/>
                <w:color w:val="auto"/>
              </w:rPr>
            </w:pPr>
            <w:r>
              <w:rPr>
                <w:rFonts w:ascii="Arial" w:cs="Arial" w:eastAsia="Arial" w:hAnsi="Arial"/>
                <w:sz w:val="14"/>
                <w:szCs w:val="14"/>
                <w:color w:val="auto"/>
              </w:rPr>
              <w:t>Loan count (in thousands)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258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17,383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17,494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4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 mark-to-market LTV ratio:</w:t>
            </w:r>
            <w:r>
              <w:rPr>
                <w:rFonts w:ascii="Arial" w:cs="Arial" w:eastAsia="Arial" w:hAnsi="Arial"/>
                <w:sz w:val="17"/>
                <w:szCs w:val="17"/>
                <w:b w:val="1"/>
                <w:bCs w:val="1"/>
                <w:color w:val="auto"/>
                <w:vertAlign w:val="superscript"/>
              </w:rPr>
              <w:t>(5)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70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68</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90.01% to 100%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2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50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84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70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320" w:type="dxa"/>
            <w:vAlign w:val="bottom"/>
            <w:tcBorders>
              <w:bottom w:val="single" w:sz="8" w:color="CBC8C3"/>
            </w:tcBorders>
          </w:tcPr>
          <w:p>
            <w:pPr>
              <w:spacing w:after="0" w:line="20" w:lineRule="exact"/>
              <w:rPr>
                <w:sz w:val="1"/>
                <w:szCs w:val="1"/>
                <w:color w:val="auto"/>
              </w:rPr>
            </w:pPr>
          </w:p>
        </w:tc>
        <w:tc>
          <w:tcPr>
            <w:tcW w:w="620" w:type="dxa"/>
            <w:vAlign w:val="bottom"/>
            <w:tcBorders>
              <w:bottom w:val="single" w:sz="8" w:color="CBC8C3"/>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740" w:type="dxa"/>
            <w:vAlign w:val="bottom"/>
            <w:tcBorders>
              <w:bottom w:val="single" w:sz="8" w:color="CBC8C3"/>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54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00" w:type="dxa"/>
            <w:vAlign w:val="bottom"/>
            <w:shd w:val="clear" w:color="auto" w:fill="CBC8C3"/>
          </w:tcPr>
          <w:p>
            <w:pPr>
              <w:spacing w:after="0"/>
              <w:rPr>
                <w:sz w:val="18"/>
                <w:szCs w:val="18"/>
                <w:color w:val="auto"/>
              </w:rPr>
            </w:pPr>
          </w:p>
        </w:tc>
        <w:tc>
          <w:tcPr>
            <w:tcW w:w="84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70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320" w:type="dxa"/>
            <w:vAlign w:val="bottom"/>
            <w:shd w:val="clear" w:color="auto" w:fill="CBC8C3"/>
          </w:tcPr>
          <w:p>
            <w:pPr>
              <w:spacing w:after="0"/>
              <w:rPr>
                <w:sz w:val="18"/>
                <w:szCs w:val="18"/>
                <w:color w:val="auto"/>
              </w:rPr>
            </w:pPr>
          </w:p>
        </w:tc>
        <w:tc>
          <w:tcPr>
            <w:tcW w:w="620" w:type="dxa"/>
            <w:vAlign w:val="bottom"/>
            <w:shd w:val="clear" w:color="auto" w:fill="CBC8C3"/>
          </w:tcPr>
          <w:p>
            <w:pPr>
              <w:spacing w:after="0"/>
              <w:rPr>
                <w:sz w:val="18"/>
                <w:szCs w:val="18"/>
                <w:color w:val="auto"/>
              </w:rPr>
            </w:pPr>
          </w:p>
        </w:tc>
        <w:tc>
          <w:tcPr>
            <w:tcW w:w="260" w:type="dxa"/>
            <w:vAlign w:val="bottom"/>
            <w:shd w:val="clear" w:color="auto" w:fill="CBC8C3"/>
          </w:tcPr>
          <w:p>
            <w:pPr>
              <w:spacing w:after="0"/>
              <w:rPr>
                <w:sz w:val="18"/>
                <w:szCs w:val="18"/>
                <w:color w:val="auto"/>
              </w:rPr>
            </w:pPr>
          </w:p>
        </w:tc>
        <w:tc>
          <w:tcPr>
            <w:tcW w:w="200" w:type="dxa"/>
            <w:vAlign w:val="bottom"/>
            <w:shd w:val="clear" w:color="auto" w:fill="CBC8C3"/>
          </w:tcPr>
          <w:p>
            <w:pPr>
              <w:spacing w:after="0"/>
              <w:rPr>
                <w:sz w:val="18"/>
                <w:szCs w:val="18"/>
                <w:color w:val="auto"/>
              </w:rPr>
            </w:pPr>
          </w:p>
        </w:tc>
        <w:tc>
          <w:tcPr>
            <w:tcW w:w="740" w:type="dxa"/>
            <w:vAlign w:val="bottom"/>
            <w:shd w:val="clear" w:color="auto" w:fill="CBC8C3"/>
          </w:tcPr>
          <w:p>
            <w:pPr>
              <w:spacing w:after="0"/>
              <w:rPr>
                <w:sz w:val="18"/>
                <w:szCs w:val="18"/>
                <w:color w:val="auto"/>
              </w:rPr>
            </w:pPr>
          </w:p>
        </w:tc>
        <w:tc>
          <w:tcPr>
            <w:tcW w:w="260" w:type="dxa"/>
            <w:vAlign w:val="bottom"/>
            <w:shd w:val="clear" w:color="auto" w:fill="CBC8C3"/>
          </w:tcPr>
          <w:p>
            <w:pPr>
              <w:spacing w:after="0"/>
              <w:rPr>
                <w:sz w:val="18"/>
                <w:szCs w:val="18"/>
                <w:color w:val="auto"/>
              </w:rPr>
            </w:pPr>
          </w:p>
        </w:tc>
        <w:tc>
          <w:tcPr>
            <w:tcW w:w="220" w:type="dxa"/>
            <w:vAlign w:val="bottom"/>
            <w:shd w:val="clear" w:color="auto" w:fill="CBC8C3"/>
          </w:tcPr>
          <w:p>
            <w:pPr>
              <w:spacing w:after="0"/>
              <w:rPr>
                <w:sz w:val="18"/>
                <w:szCs w:val="18"/>
                <w:color w:val="auto"/>
              </w:rPr>
            </w:pPr>
          </w:p>
        </w:tc>
        <w:tc>
          <w:tcPr>
            <w:tcW w:w="14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50</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51</w:t>
            </w:r>
          </w:p>
        </w:tc>
        <w:tc>
          <w:tcPr>
            <w:tcW w:w="280" w:type="dxa"/>
            <w:vAlign w:val="bottom"/>
            <w:gridSpan w:val="3"/>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82"/>
        </w:trPr>
        <w:tc>
          <w:tcPr>
            <w:tcW w:w="2640" w:type="dxa"/>
            <w:vAlign w:val="bottom"/>
            <w:gridSpan w:val="3"/>
          </w:tcPr>
          <w:p>
            <w:pPr>
              <w:ind w:left="20"/>
              <w:spacing w:after="0"/>
              <w:rPr>
                <w:sz w:val="20"/>
                <w:szCs w:val="20"/>
                <w:color w:val="auto"/>
              </w:rPr>
            </w:pPr>
            <w:r>
              <w:rPr>
                <w:rFonts w:ascii="Arial" w:cs="Arial" w:eastAsia="Arial" w:hAnsi="Arial"/>
                <w:sz w:val="14"/>
                <w:szCs w:val="14"/>
                <w:b w:val="1"/>
                <w:bCs w:val="1"/>
                <w:color w:val="auto"/>
              </w:rPr>
              <w:t>FICO credit score at</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54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origination:</w:t>
            </w:r>
            <w:r>
              <w:rPr>
                <w:rFonts w:ascii="Arial" w:cs="Arial" w:eastAsia="Arial" w:hAnsi="Arial"/>
                <w:sz w:val="17"/>
                <w:szCs w:val="17"/>
                <w:b w:val="1"/>
                <w:bCs w:val="1"/>
                <w:color w:val="auto"/>
                <w:vertAlign w:val="superscript"/>
              </w:rPr>
              <w:t>(6)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620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3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17"/>
                <w:szCs w:val="17"/>
                <w:color w:val="auto"/>
              </w:rPr>
            </w:pPr>
          </w:p>
        </w:tc>
        <w:tc>
          <w:tcPr>
            <w:tcW w:w="1000" w:type="dxa"/>
            <w:vAlign w:val="bottom"/>
            <w:gridSpan w:val="2"/>
          </w:tcPr>
          <w:p>
            <w:pPr>
              <w:jc w:val="right"/>
              <w:ind w:right="11"/>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17"/>
                <w:szCs w:val="17"/>
                <w:color w:val="auto"/>
              </w:rPr>
            </w:pPr>
          </w:p>
        </w:tc>
        <w:tc>
          <w:tcPr>
            <w:tcW w:w="1740" w:type="dxa"/>
            <w:vAlign w:val="bottom"/>
            <w:gridSpan w:val="4"/>
          </w:tcPr>
          <w:p>
            <w:pPr>
              <w:jc w:val="right"/>
              <w:ind w:right="6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620 to &lt; 660</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660 to &lt; 680</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680 to &lt; 700</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700 to &lt; 740</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2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color w:val="auto"/>
              </w:rPr>
              <w:t>&gt;= 740</w:t>
            </w:r>
          </w:p>
        </w:tc>
        <w:tc>
          <w:tcPr>
            <w:tcW w:w="12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72</w:t>
            </w:r>
          </w:p>
        </w:tc>
        <w:tc>
          <w:tcPr>
            <w:tcW w:w="24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70</w:t>
            </w:r>
          </w:p>
        </w:tc>
        <w:tc>
          <w:tcPr>
            <w:tcW w:w="24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72</w:t>
            </w:r>
          </w:p>
        </w:tc>
        <w:tc>
          <w:tcPr>
            <w:tcW w:w="26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67</w:t>
            </w:r>
          </w:p>
        </w:tc>
        <w:tc>
          <w:tcPr>
            <w:tcW w:w="26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4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67</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66</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bottom w:val="single" w:sz="8" w:color="CBC8C3"/>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54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00" w:type="dxa"/>
            <w:vAlign w:val="bottom"/>
            <w:shd w:val="clear" w:color="auto" w:fill="CBC8C3"/>
          </w:tcPr>
          <w:p>
            <w:pPr>
              <w:spacing w:after="0"/>
              <w:rPr>
                <w:sz w:val="18"/>
                <w:szCs w:val="18"/>
                <w:color w:val="auto"/>
              </w:rPr>
            </w:pPr>
          </w:p>
        </w:tc>
        <w:tc>
          <w:tcPr>
            <w:tcW w:w="8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759</w:t>
            </w:r>
          </w:p>
        </w:tc>
        <w:tc>
          <w:tcPr>
            <w:tcW w:w="24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70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756</w:t>
            </w:r>
          </w:p>
        </w:tc>
        <w:tc>
          <w:tcPr>
            <w:tcW w:w="240" w:type="dxa"/>
            <w:vAlign w:val="bottom"/>
            <w:shd w:val="clear" w:color="auto" w:fill="CBC8C3"/>
          </w:tcPr>
          <w:p>
            <w:pPr>
              <w:spacing w:after="0"/>
              <w:rPr>
                <w:sz w:val="18"/>
                <w:szCs w:val="18"/>
                <w:color w:val="auto"/>
              </w:rPr>
            </w:pPr>
          </w:p>
        </w:tc>
        <w:tc>
          <w:tcPr>
            <w:tcW w:w="320" w:type="dxa"/>
            <w:vAlign w:val="bottom"/>
            <w:shd w:val="clear" w:color="auto" w:fill="CBC8C3"/>
          </w:tcPr>
          <w:p>
            <w:pPr>
              <w:spacing w:after="0"/>
              <w:rPr>
                <w:sz w:val="18"/>
                <w:szCs w:val="18"/>
                <w:color w:val="auto"/>
              </w:rPr>
            </w:pPr>
          </w:p>
        </w:tc>
        <w:tc>
          <w:tcPr>
            <w:tcW w:w="62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758</w:t>
            </w:r>
          </w:p>
        </w:tc>
        <w:tc>
          <w:tcPr>
            <w:tcW w:w="260" w:type="dxa"/>
            <w:vAlign w:val="bottom"/>
            <w:shd w:val="clear" w:color="auto" w:fill="CBC8C3"/>
          </w:tcPr>
          <w:p>
            <w:pPr>
              <w:spacing w:after="0"/>
              <w:rPr>
                <w:sz w:val="18"/>
                <w:szCs w:val="18"/>
                <w:color w:val="auto"/>
              </w:rPr>
            </w:pPr>
          </w:p>
        </w:tc>
        <w:tc>
          <w:tcPr>
            <w:tcW w:w="200" w:type="dxa"/>
            <w:vAlign w:val="bottom"/>
            <w:shd w:val="clear" w:color="auto" w:fill="CBC8C3"/>
          </w:tcPr>
          <w:p>
            <w:pPr>
              <w:spacing w:after="0"/>
              <w:rPr>
                <w:sz w:val="18"/>
                <w:szCs w:val="18"/>
                <w:color w:val="auto"/>
              </w:rPr>
            </w:pPr>
          </w:p>
        </w:tc>
        <w:tc>
          <w:tcPr>
            <w:tcW w:w="7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753</w:t>
            </w:r>
          </w:p>
        </w:tc>
        <w:tc>
          <w:tcPr>
            <w:tcW w:w="260" w:type="dxa"/>
            <w:vAlign w:val="bottom"/>
            <w:shd w:val="clear" w:color="auto" w:fill="CBC8C3"/>
          </w:tcPr>
          <w:p>
            <w:pPr>
              <w:spacing w:after="0"/>
              <w:rPr>
                <w:sz w:val="18"/>
                <w:szCs w:val="18"/>
                <w:color w:val="auto"/>
              </w:rPr>
            </w:pPr>
          </w:p>
        </w:tc>
        <w:tc>
          <w:tcPr>
            <w:tcW w:w="220" w:type="dxa"/>
            <w:vAlign w:val="bottom"/>
            <w:shd w:val="clear" w:color="auto" w:fill="CBC8C3"/>
          </w:tcPr>
          <w:p>
            <w:pPr>
              <w:spacing w:after="0"/>
              <w:rPr>
                <w:sz w:val="18"/>
                <w:szCs w:val="18"/>
                <w:color w:val="auto"/>
              </w:rPr>
            </w:pPr>
          </w:p>
        </w:tc>
        <w:tc>
          <w:tcPr>
            <w:tcW w:w="14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753</w:t>
            </w:r>
          </w:p>
        </w:tc>
        <w:tc>
          <w:tcPr>
            <w:tcW w:w="240" w:type="dxa"/>
            <w:vAlign w:val="bottom"/>
            <w:shd w:val="clear" w:color="auto" w:fill="CBC8C3"/>
          </w:tcPr>
          <w:p>
            <w:pPr>
              <w:spacing w:after="0"/>
              <w:rPr>
                <w:sz w:val="18"/>
                <w:szCs w:val="18"/>
                <w:color w:val="auto"/>
              </w:rPr>
            </w:pP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753</w:t>
            </w:r>
          </w:p>
        </w:tc>
        <w:tc>
          <w:tcPr>
            <w:tcW w:w="40" w:type="dxa"/>
            <w:vAlign w:val="bottom"/>
            <w:shd w:val="clear" w:color="auto" w:fill="CBC8C3"/>
          </w:tcPr>
          <w:p>
            <w:pPr>
              <w:spacing w:after="0"/>
              <w:rPr>
                <w:sz w:val="18"/>
                <w:szCs w:val="18"/>
                <w:color w:val="auto"/>
              </w:rPr>
            </w:pPr>
          </w:p>
        </w:tc>
        <w:tc>
          <w:tcPr>
            <w:tcW w:w="140" w:type="dxa"/>
            <w:vAlign w:val="bottom"/>
            <w:shd w:val="clear" w:color="auto" w:fill="CBC8C3"/>
          </w:tcPr>
          <w:p>
            <w:pPr>
              <w:spacing w:after="0"/>
              <w:rPr>
                <w:sz w:val="18"/>
                <w:szCs w:val="18"/>
                <w:color w:val="auto"/>
              </w:rPr>
            </w:pPr>
          </w:p>
        </w:tc>
        <w:tc>
          <w:tcPr>
            <w:tcW w:w="100" w:type="dxa"/>
            <w:vAlign w:val="bottom"/>
            <w:shd w:val="clear" w:color="auto" w:fill="CBC8C3"/>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640" w:type="dxa"/>
            <w:vAlign w:val="bottom"/>
            <w:gridSpan w:val="3"/>
          </w:tcPr>
          <w:p>
            <w:pPr>
              <w:ind w:left="20"/>
              <w:spacing w:after="0"/>
              <w:rPr>
                <w:sz w:val="20"/>
                <w:szCs w:val="20"/>
                <w:color w:val="auto"/>
              </w:rPr>
            </w:pPr>
            <w:r>
              <w:rPr>
                <w:rFonts w:ascii="Arial" w:cs="Arial" w:eastAsia="Arial" w:hAnsi="Arial"/>
                <w:sz w:val="14"/>
                <w:szCs w:val="14"/>
                <w:b w:val="1"/>
                <w:bCs w:val="1"/>
                <w:color w:val="auto"/>
              </w:rPr>
              <w:t>Debt-to-income (“DTI”) ratio at</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54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origination:</w:t>
            </w:r>
            <w:r>
              <w:rPr>
                <w:rFonts w:ascii="Arial" w:cs="Arial" w:eastAsia="Arial" w:hAnsi="Arial"/>
                <w:sz w:val="17"/>
                <w:szCs w:val="17"/>
                <w:b w:val="1"/>
                <w:bCs w:val="1"/>
                <w:color w:val="auto"/>
                <w:vertAlign w:val="superscript"/>
              </w:rPr>
              <w:t>(7)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w:t>
            </w:r>
          </w:p>
        </w:tc>
        <w:tc>
          <w:tcPr>
            <w:tcW w:w="2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74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75</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43.01% to 45%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2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45%</w:t>
            </w:r>
          </w:p>
        </w:tc>
        <w:tc>
          <w:tcPr>
            <w:tcW w:w="12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w:t>
            </w:r>
          </w:p>
        </w:tc>
        <w:tc>
          <w:tcPr>
            <w:tcW w:w="26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25</w:t>
            </w:r>
          </w:p>
        </w:tc>
        <w:tc>
          <w:tcPr>
            <w:tcW w:w="26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4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bottom w:val="single" w:sz="8" w:color="CBC8C3"/>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54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00" w:type="dxa"/>
            <w:vAlign w:val="bottom"/>
            <w:shd w:val="clear" w:color="auto" w:fill="CBC8C3"/>
          </w:tcPr>
          <w:p>
            <w:pPr>
              <w:spacing w:after="0"/>
              <w:rPr>
                <w:sz w:val="18"/>
                <w:szCs w:val="18"/>
                <w:color w:val="auto"/>
              </w:rPr>
            </w:pPr>
          </w:p>
        </w:tc>
        <w:tc>
          <w:tcPr>
            <w:tcW w:w="8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38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40" w:type="dxa"/>
            <w:vAlign w:val="bottom"/>
            <w:shd w:val="clear" w:color="auto" w:fill="CBC8C3"/>
          </w:tcPr>
          <w:p>
            <w:pPr>
              <w:spacing w:after="0"/>
              <w:rPr>
                <w:sz w:val="18"/>
                <w:szCs w:val="18"/>
                <w:color w:val="auto"/>
              </w:rPr>
            </w:pPr>
          </w:p>
        </w:tc>
        <w:tc>
          <w:tcPr>
            <w:tcW w:w="70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320" w:type="dxa"/>
            <w:vAlign w:val="bottom"/>
            <w:shd w:val="clear" w:color="auto" w:fill="CBC8C3"/>
          </w:tcPr>
          <w:p>
            <w:pPr>
              <w:spacing w:after="0"/>
              <w:rPr>
                <w:sz w:val="18"/>
                <w:szCs w:val="18"/>
                <w:color w:val="auto"/>
              </w:rPr>
            </w:pPr>
          </w:p>
        </w:tc>
        <w:tc>
          <w:tcPr>
            <w:tcW w:w="62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38</w:t>
            </w:r>
          </w:p>
        </w:tc>
        <w:tc>
          <w:tcPr>
            <w:tcW w:w="26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BC8C3"/>
          </w:tcPr>
          <w:p>
            <w:pPr>
              <w:spacing w:after="0"/>
              <w:rPr>
                <w:sz w:val="18"/>
                <w:szCs w:val="18"/>
                <w:color w:val="auto"/>
              </w:rPr>
            </w:pPr>
          </w:p>
        </w:tc>
        <w:tc>
          <w:tcPr>
            <w:tcW w:w="7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38</w:t>
            </w:r>
          </w:p>
        </w:tc>
        <w:tc>
          <w:tcPr>
            <w:tcW w:w="260" w:type="dxa"/>
            <w:vAlign w:val="bottom"/>
            <w:shd w:val="clear" w:color="auto" w:fill="CBC8C3"/>
          </w:tcPr>
          <w:p>
            <w:pPr>
              <w:jc w:val="right"/>
              <w:ind w:right="11"/>
              <w:spacing w:after="0"/>
              <w:rPr>
                <w:sz w:val="20"/>
                <w:szCs w:val="20"/>
                <w:color w:val="auto"/>
              </w:rPr>
            </w:pPr>
            <w:r>
              <w:rPr>
                <w:rFonts w:ascii="Arial" w:cs="Arial" w:eastAsia="Arial" w:hAnsi="Arial"/>
                <w:sz w:val="14"/>
                <w:szCs w:val="14"/>
                <w:i w:val="1"/>
                <w:iCs w:val="1"/>
                <w:color w:val="auto"/>
              </w:rPr>
              <w:t>%</w:t>
            </w:r>
          </w:p>
        </w:tc>
        <w:tc>
          <w:tcPr>
            <w:tcW w:w="220" w:type="dxa"/>
            <w:vAlign w:val="bottom"/>
            <w:shd w:val="clear" w:color="auto" w:fill="CBC8C3"/>
          </w:tcPr>
          <w:p>
            <w:pPr>
              <w:spacing w:after="0"/>
              <w:rPr>
                <w:sz w:val="18"/>
                <w:szCs w:val="18"/>
                <w:color w:val="auto"/>
              </w:rPr>
            </w:pPr>
          </w:p>
        </w:tc>
        <w:tc>
          <w:tcPr>
            <w:tcW w:w="14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35</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35</w:t>
            </w:r>
          </w:p>
        </w:tc>
        <w:tc>
          <w:tcPr>
            <w:tcW w:w="280" w:type="dxa"/>
            <w:vAlign w:val="bottom"/>
            <w:gridSpan w:val="3"/>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722"/>
        </w:trPr>
        <w:tc>
          <w:tcPr>
            <w:tcW w:w="100" w:type="dxa"/>
            <w:vAlign w:val="bottom"/>
          </w:tcPr>
          <w:p>
            <w:pPr>
              <w:spacing w:after="0"/>
              <w:rPr>
                <w:sz w:val="24"/>
                <w:szCs w:val="24"/>
                <w:color w:val="auto"/>
              </w:rPr>
            </w:pPr>
          </w:p>
        </w:tc>
        <w:tc>
          <w:tcPr>
            <w:tcW w:w="3480" w:type="dxa"/>
            <w:vAlign w:val="bottom"/>
            <w:tcBorders>
              <w:bottom w:val="single" w:sz="8" w:color="CBC8C3"/>
            </w:tcBorders>
            <w:gridSpan w:val="4"/>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70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320" w:type="dxa"/>
            <w:vAlign w:val="bottom"/>
            <w:tcBorders>
              <w:bottom w:val="single" w:sz="8" w:color="CBC8C3"/>
            </w:tcBorders>
          </w:tcPr>
          <w:p>
            <w:pPr>
              <w:spacing w:after="0"/>
              <w:rPr>
                <w:sz w:val="24"/>
                <w:szCs w:val="24"/>
                <w:color w:val="auto"/>
              </w:rPr>
            </w:pPr>
          </w:p>
        </w:tc>
        <w:tc>
          <w:tcPr>
            <w:tcW w:w="620" w:type="dxa"/>
            <w:vAlign w:val="bottom"/>
            <w:tcBorders>
              <w:bottom w:val="single" w:sz="8" w:color="CBC8C3"/>
            </w:tcBorders>
          </w:tcPr>
          <w:p>
            <w:pPr>
              <w:spacing w:after="0"/>
              <w:rPr>
                <w:sz w:val="24"/>
                <w:szCs w:val="24"/>
                <w:color w:val="auto"/>
              </w:rPr>
            </w:pPr>
          </w:p>
        </w:tc>
        <w:tc>
          <w:tcPr>
            <w:tcW w:w="260" w:type="dxa"/>
            <w:vAlign w:val="bottom"/>
            <w:tcBorders>
              <w:bottom w:val="single" w:sz="8" w:color="CBC8C3"/>
            </w:tcBorders>
          </w:tcPr>
          <w:p>
            <w:pPr>
              <w:spacing w:after="0"/>
              <w:rPr>
                <w:sz w:val="24"/>
                <w:szCs w:val="24"/>
                <w:color w:val="auto"/>
              </w:rPr>
            </w:pPr>
          </w:p>
        </w:tc>
        <w:tc>
          <w:tcPr>
            <w:tcW w:w="200" w:type="dxa"/>
            <w:vAlign w:val="bottom"/>
            <w:tcBorders>
              <w:bottom w:val="single" w:sz="8" w:color="CBC8C3"/>
            </w:tcBorders>
          </w:tcPr>
          <w:p>
            <w:pPr>
              <w:spacing w:after="0"/>
              <w:rPr>
                <w:sz w:val="24"/>
                <w:szCs w:val="24"/>
                <w:color w:val="auto"/>
              </w:rPr>
            </w:pPr>
          </w:p>
        </w:tc>
        <w:tc>
          <w:tcPr>
            <w:tcW w:w="740" w:type="dxa"/>
            <w:vAlign w:val="bottom"/>
            <w:tcBorders>
              <w:bottom w:val="single" w:sz="8" w:color="CBC8C3"/>
            </w:tcBorders>
          </w:tcPr>
          <w:p>
            <w:pPr>
              <w:spacing w:after="0"/>
              <w:rPr>
                <w:sz w:val="24"/>
                <w:szCs w:val="24"/>
                <w:color w:val="auto"/>
              </w:rPr>
            </w:pPr>
          </w:p>
        </w:tc>
        <w:tc>
          <w:tcPr>
            <w:tcW w:w="260" w:type="dxa"/>
            <w:vAlign w:val="bottom"/>
            <w:tcBorders>
              <w:bottom w:val="single" w:sz="8" w:color="CBC8C3"/>
            </w:tcBorders>
          </w:tcPr>
          <w:p>
            <w:pPr>
              <w:spacing w:after="0"/>
              <w:rPr>
                <w:sz w:val="24"/>
                <w:szCs w:val="24"/>
                <w:color w:val="auto"/>
              </w:rPr>
            </w:pPr>
          </w:p>
        </w:tc>
        <w:tc>
          <w:tcPr>
            <w:tcW w:w="220" w:type="dxa"/>
            <w:vAlign w:val="bottom"/>
            <w:tcBorders>
              <w:bottom w:val="single" w:sz="8" w:color="CBC8C3"/>
            </w:tcBorders>
          </w:tcPr>
          <w:p>
            <w:pPr>
              <w:spacing w:after="0"/>
              <w:rPr>
                <w:sz w:val="24"/>
                <w:szCs w:val="24"/>
                <w:color w:val="auto"/>
              </w:rPr>
            </w:pPr>
          </w:p>
        </w:tc>
        <w:tc>
          <w:tcPr>
            <w:tcW w:w="144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00" w:type="dxa"/>
            <w:vAlign w:val="bottom"/>
            <w:tcBorders>
              <w:bottom w:val="single" w:sz="8" w:color="CBC8C3"/>
            </w:tcBorders>
          </w:tcPr>
          <w:p>
            <w:pPr>
              <w:spacing w:after="0"/>
              <w:rPr>
                <w:sz w:val="24"/>
                <w:szCs w:val="24"/>
                <w:color w:val="auto"/>
              </w:rPr>
            </w:pPr>
          </w:p>
        </w:tc>
        <w:tc>
          <w:tcPr>
            <w:tcW w:w="1460" w:type="dxa"/>
            <w:vAlign w:val="bottom"/>
            <w:tcBorders>
              <w:bottom w:val="single" w:sz="8" w:color="CBC8C3"/>
            </w:tcBorders>
          </w:tcPr>
          <w:p>
            <w:pPr>
              <w:spacing w:after="0"/>
              <w:rPr>
                <w:sz w:val="24"/>
                <w:szCs w:val="24"/>
                <w:color w:val="auto"/>
              </w:rPr>
            </w:pPr>
          </w:p>
        </w:tc>
        <w:tc>
          <w:tcPr>
            <w:tcW w:w="180" w:type="dxa"/>
            <w:vAlign w:val="bottom"/>
            <w:tcBorders>
              <w:bottom w:val="single" w:sz="8" w:color="CBC8C3"/>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3480" w:type="dxa"/>
            <w:vAlign w:val="bottom"/>
            <w:gridSpan w:val="4"/>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05314D"/>
                <w:w w:val="89"/>
              </w:rPr>
              <w:t>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24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7" w:name="page28"/>
    <w:bookmarkEnd w:id="27"/>
    <w:p>
      <w:pPr>
        <w:ind w:left="6060"/>
        <w:spacing w:after="0"/>
        <w:rPr>
          <w:sz w:val="20"/>
          <w:szCs w:val="20"/>
          <w:color w:val="auto"/>
        </w:rPr>
      </w:pPr>
      <w:r>
        <w:rPr>
          <w:rFonts w:ascii="Arial" w:cs="Arial" w:eastAsia="Arial" w:hAnsi="Arial"/>
          <w:sz w:val="13"/>
          <w:szCs w:val="13"/>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24130</wp:posOffset>
            </wp:positionV>
            <wp:extent cx="69996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00" w:type="dxa"/>
            <w:vAlign w:val="bottom"/>
            <w:gridSpan w:val="9"/>
          </w:tcPr>
          <w:p>
            <w:pPr>
              <w:ind w:left="320"/>
              <w:spacing w:after="0"/>
              <w:rPr>
                <w:sz w:val="20"/>
                <w:szCs w:val="20"/>
                <w:color w:val="auto"/>
              </w:rPr>
            </w:pPr>
            <w:r>
              <w:rPr>
                <w:rFonts w:ascii="Arial" w:cs="Arial" w:eastAsia="Arial" w:hAnsi="Arial"/>
                <w:sz w:val="14"/>
                <w:szCs w:val="14"/>
                <w:b w:val="1"/>
                <w:bCs w:val="1"/>
                <w:color w:val="auto"/>
              </w:rPr>
              <w:t>Percent of Single-Family Conventional Business Volume at</w:t>
            </w:r>
          </w:p>
        </w:tc>
        <w:tc>
          <w:tcPr>
            <w:tcW w:w="180" w:type="dxa"/>
            <w:vAlign w:val="bottom"/>
          </w:tcPr>
          <w:p>
            <w:pPr>
              <w:spacing w:after="0"/>
              <w:rPr>
                <w:sz w:val="14"/>
                <w:szCs w:val="14"/>
                <w:color w:val="auto"/>
              </w:rPr>
            </w:pPr>
          </w:p>
        </w:tc>
      </w:tr>
      <w:tr>
        <w:trPr>
          <w:trHeight w:val="205"/>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900" w:type="dxa"/>
            <w:vAlign w:val="bottom"/>
            <w:tcBorders>
              <w:bottom w:val="single" w:sz="8" w:color="2C6937"/>
            </w:tcBorders>
            <w:gridSpan w:val="3"/>
          </w:tcPr>
          <w:p>
            <w:pPr>
              <w:jc w:val="right"/>
              <w:ind w:right="571"/>
              <w:spacing w:after="0"/>
              <w:rPr>
                <w:sz w:val="20"/>
                <w:szCs w:val="20"/>
                <w:color w:val="auto"/>
              </w:rPr>
            </w:pPr>
            <w:r>
              <w:rPr>
                <w:rFonts w:ascii="Arial" w:cs="Arial" w:eastAsia="Arial" w:hAnsi="Arial"/>
                <w:sz w:val="14"/>
                <w:szCs w:val="14"/>
                <w:b w:val="1"/>
                <w:bCs w:val="1"/>
                <w:color w:val="auto"/>
              </w:rPr>
              <w:t>Acquisition</w:t>
            </w:r>
            <w:r>
              <w:rPr>
                <w:rFonts w:ascii="Arial" w:cs="Arial" w:eastAsia="Arial" w:hAnsi="Arial"/>
                <w:sz w:val="17"/>
                <w:szCs w:val="17"/>
                <w:b w:val="1"/>
                <w:bCs w:val="1"/>
                <w:color w:val="auto"/>
                <w:vertAlign w:val="superscript"/>
              </w:rPr>
              <w:t>(2)</w:t>
            </w:r>
          </w:p>
        </w:tc>
        <w:tc>
          <w:tcPr>
            <w:tcW w:w="24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80" w:type="dxa"/>
            <w:vAlign w:val="bottom"/>
          </w:tcPr>
          <w:p>
            <w:pPr>
              <w:spacing w:after="0"/>
              <w:rPr>
                <w:sz w:val="17"/>
                <w:szCs w:val="17"/>
                <w:color w:val="auto"/>
              </w:rPr>
            </w:pPr>
          </w:p>
        </w:tc>
      </w:tr>
      <w:tr>
        <w:trPr>
          <w:trHeight w:val="151"/>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center"/>
              <w:spacing w:after="0" w:line="151" w:lineRule="exact"/>
              <w:rPr>
                <w:sz w:val="20"/>
                <w:szCs w:val="20"/>
                <w:color w:val="auto"/>
              </w:rPr>
            </w:pPr>
            <w:r>
              <w:rPr>
                <w:rFonts w:ascii="Arial" w:cs="Arial" w:eastAsia="Arial" w:hAnsi="Arial"/>
                <w:sz w:val="14"/>
                <w:szCs w:val="14"/>
                <w:b w:val="1"/>
                <w:bCs w:val="1"/>
                <w:color w:val="auto"/>
                <w:w w:val="97"/>
              </w:rPr>
              <w:t>For the Three Months Ended</w:t>
            </w:r>
          </w:p>
        </w:tc>
        <w:tc>
          <w:tcPr>
            <w:tcW w:w="260" w:type="dxa"/>
            <w:vAlign w:val="bottom"/>
          </w:tcPr>
          <w:p>
            <w:pPr>
              <w:spacing w:after="0"/>
              <w:rPr>
                <w:sz w:val="13"/>
                <w:szCs w:val="13"/>
                <w:color w:val="auto"/>
              </w:rPr>
            </w:pPr>
          </w:p>
        </w:tc>
        <w:tc>
          <w:tcPr>
            <w:tcW w:w="212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w w:val="98"/>
              </w:rPr>
              <w:t>For the Six Months Ended June</w:t>
            </w:r>
          </w:p>
        </w:tc>
        <w:tc>
          <w:tcPr>
            <w:tcW w:w="180" w:type="dxa"/>
            <w:vAlign w:val="bottom"/>
          </w:tcPr>
          <w:p>
            <w:pPr>
              <w:spacing w:after="0"/>
              <w:rPr>
                <w:sz w:val="13"/>
                <w:szCs w:val="13"/>
                <w:color w:val="auto"/>
              </w:rPr>
            </w:pPr>
          </w:p>
        </w:tc>
      </w:tr>
      <w:tr>
        <w:trPr>
          <w:trHeight w:val="189"/>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700" w:type="dxa"/>
            <w:vAlign w:val="bottom"/>
            <w:tcBorders>
              <w:bottom w:val="single" w:sz="8" w:color="2C6937"/>
            </w:tcBorders>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rPr>
              <w:t>30,</w:t>
            </w:r>
          </w:p>
        </w:tc>
        <w:tc>
          <w:tcPr>
            <w:tcW w:w="940" w:type="dxa"/>
            <w:vAlign w:val="bottom"/>
            <w:tcBorders>
              <w:bottom w:val="single" w:sz="8" w:color="2C6937"/>
            </w:tcBorders>
          </w:tcPr>
          <w:p>
            <w:pPr>
              <w:spacing w:after="0"/>
              <w:rPr>
                <w:sz w:val="16"/>
                <w:szCs w:val="16"/>
                <w:color w:val="auto"/>
              </w:rPr>
            </w:pPr>
          </w:p>
        </w:tc>
        <w:tc>
          <w:tcPr>
            <w:tcW w:w="180" w:type="dxa"/>
            <w:vAlign w:val="bottom"/>
          </w:tcPr>
          <w:p>
            <w:pPr>
              <w:spacing w:after="0"/>
              <w:rPr>
                <w:sz w:val="16"/>
                <w:szCs w:val="16"/>
                <w:color w:val="auto"/>
              </w:rPr>
            </w:pPr>
          </w:p>
        </w:tc>
      </w:tr>
      <w:tr>
        <w:trPr>
          <w:trHeight w:val="186"/>
        </w:trPr>
        <w:tc>
          <w:tcPr>
            <w:tcW w:w="2620" w:type="dxa"/>
            <w:vAlign w:val="bottom"/>
            <w:gridSpan w:val="2"/>
          </w:tcPr>
          <w:p>
            <w:pPr>
              <w:spacing w:after="0"/>
              <w:rPr>
                <w:sz w:val="16"/>
                <w:szCs w:val="16"/>
                <w:color w:val="auto"/>
              </w:rPr>
            </w:pPr>
          </w:p>
        </w:tc>
        <w:tc>
          <w:tcPr>
            <w:tcW w:w="640" w:type="dxa"/>
            <w:vAlign w:val="bottom"/>
            <w:tcBorders>
              <w:bottom w:val="single" w:sz="8" w:color="2C6937"/>
            </w:tcBorders>
          </w:tcPr>
          <w:p>
            <w:pPr>
              <w:ind w:left="320"/>
              <w:spacing w:after="0"/>
              <w:rPr>
                <w:sz w:val="20"/>
                <w:szCs w:val="20"/>
                <w:color w:val="auto"/>
              </w:rPr>
            </w:pPr>
            <w:r>
              <w:rPr>
                <w:rFonts w:ascii="Arial" w:cs="Arial" w:eastAsia="Arial" w:hAnsi="Arial"/>
                <w:sz w:val="14"/>
                <w:szCs w:val="14"/>
                <w:b w:val="1"/>
                <w:bCs w:val="1"/>
                <w:color w:val="auto"/>
                <w:w w:val="96"/>
              </w:rPr>
              <w:t>2024</w:t>
            </w:r>
          </w:p>
        </w:tc>
        <w:tc>
          <w:tcPr>
            <w:tcW w:w="30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94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94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r>
      <w:tr>
        <w:trPr>
          <w:trHeight w:val="185"/>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Product type:</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45"/>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Fixed-rate:</w:t>
            </w:r>
            <w:r>
              <w:rPr>
                <w:rFonts w:ascii="Arial" w:cs="Arial" w:eastAsia="Arial" w:hAnsi="Arial"/>
                <w:sz w:val="17"/>
                <w:szCs w:val="17"/>
                <w:color w:val="auto"/>
                <w:vertAlign w:val="superscript"/>
              </w:rPr>
              <w:t>(8)</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4"/>
        </w:trPr>
        <w:tc>
          <w:tcPr>
            <w:tcW w:w="3260" w:type="dxa"/>
            <w:vAlign w:val="bottom"/>
            <w:gridSpan w:val="3"/>
          </w:tcPr>
          <w:p>
            <w:pPr>
              <w:ind w:left="220"/>
              <w:spacing w:after="0"/>
              <w:rPr>
                <w:sz w:val="20"/>
                <w:szCs w:val="20"/>
                <w:color w:val="auto"/>
              </w:rPr>
            </w:pPr>
            <w:r>
              <w:rPr>
                <w:rFonts w:ascii="Arial" w:cs="Arial" w:eastAsia="Arial" w:hAnsi="Arial"/>
                <w:sz w:val="14"/>
                <w:szCs w:val="14"/>
                <w:color w:val="auto"/>
              </w:rPr>
              <w:t>Long-term</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24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w:t>
            </w:r>
          </w:p>
        </w:tc>
        <w:tc>
          <w:tcPr>
            <w:tcW w:w="26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96</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Intermediate-term</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8"/>
                <w:szCs w:val="18"/>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8"/>
                <w:szCs w:val="18"/>
                <w:color w:val="auto"/>
              </w:rPr>
            </w:pPr>
          </w:p>
        </w:tc>
      </w:tr>
      <w:tr>
        <w:trPr>
          <w:trHeight w:val="212"/>
        </w:trPr>
        <w:tc>
          <w:tcPr>
            <w:tcW w:w="25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fixed-rate</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260" w:type="dxa"/>
            <w:vAlign w:val="bottom"/>
          </w:tcPr>
          <w:p>
            <w:pPr>
              <w:spacing w:after="0"/>
              <w:rPr>
                <w:sz w:val="18"/>
                <w:szCs w:val="18"/>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180" w:type="dxa"/>
            <w:vAlign w:val="bottom"/>
          </w:tcPr>
          <w:p>
            <w:pPr>
              <w:spacing w:after="0"/>
              <w:rPr>
                <w:sz w:val="18"/>
                <w:szCs w:val="18"/>
                <w:color w:val="auto"/>
              </w:rPr>
            </w:pPr>
          </w:p>
        </w:tc>
      </w:tr>
      <w:tr>
        <w:trPr>
          <w:trHeight w:val="212"/>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Adjustable-rate</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8"/>
                <w:szCs w:val="18"/>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8"/>
                <w:szCs w:val="18"/>
                <w:color w:val="auto"/>
              </w:rPr>
            </w:pPr>
          </w:p>
        </w:tc>
      </w:tr>
      <w:tr>
        <w:trPr>
          <w:trHeight w:val="213"/>
        </w:trPr>
        <w:tc>
          <w:tcPr>
            <w:tcW w:w="25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4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Number of property units: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0"/>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1 unit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24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w:t>
            </w:r>
          </w:p>
        </w:tc>
        <w:tc>
          <w:tcPr>
            <w:tcW w:w="26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97</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2-4 units</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8"/>
                <w:szCs w:val="18"/>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8"/>
                <w:szCs w:val="18"/>
                <w:color w:val="auto"/>
              </w:rPr>
            </w:pPr>
          </w:p>
        </w:tc>
      </w:tr>
      <w:tr>
        <w:trPr>
          <w:trHeight w:val="213"/>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4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Property type:</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0"/>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Single-family homes</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w:t>
            </w:r>
          </w:p>
        </w:tc>
        <w:tc>
          <w:tcPr>
            <w:tcW w:w="26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Condo/Co-op</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8"/>
                <w:szCs w:val="18"/>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8"/>
                <w:szCs w:val="18"/>
                <w:color w:val="auto"/>
              </w:rPr>
            </w:pPr>
          </w:p>
        </w:tc>
      </w:tr>
      <w:tr>
        <w:trPr>
          <w:trHeight w:val="213"/>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4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Occupancy type:</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9"/>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Primary residence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93</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Second/vacation home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9"/>
                <w:szCs w:val="19"/>
                <w:color w:val="auto"/>
              </w:rPr>
            </w:pPr>
          </w:p>
        </w:tc>
      </w:tr>
      <w:tr>
        <w:trPr>
          <w:trHeight w:val="220"/>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Investor</w:t>
            </w:r>
          </w:p>
        </w:tc>
        <w:tc>
          <w:tcPr>
            <w:tcW w:w="100" w:type="dxa"/>
            <w:vAlign w:val="bottom"/>
          </w:tcPr>
          <w:p>
            <w:pPr>
              <w:spacing w:after="0"/>
              <w:rPr>
                <w:sz w:val="19"/>
                <w:szCs w:val="19"/>
                <w:color w:val="auto"/>
              </w:rPr>
            </w:pPr>
          </w:p>
        </w:tc>
        <w:tc>
          <w:tcPr>
            <w:tcW w:w="640" w:type="dxa"/>
            <w:vAlign w:val="bottom"/>
            <w:tcBorders>
              <w:bottom w:val="single" w:sz="8" w:color="2C6937"/>
            </w:tcBorders>
          </w:tcPr>
          <w:p>
            <w:pPr>
              <w:spacing w:after="0"/>
              <w:rPr>
                <w:sz w:val="19"/>
                <w:szCs w:val="19"/>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9"/>
                <w:szCs w:val="19"/>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9"/>
                <w:szCs w:val="19"/>
                <w:color w:val="auto"/>
              </w:rPr>
            </w:pPr>
          </w:p>
        </w:tc>
      </w:tr>
      <w:tr>
        <w:trPr>
          <w:trHeight w:val="213"/>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Loan purpose:</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2"/>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Purchase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86</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Cash-out refinance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9"/>
                <w:szCs w:val="19"/>
                <w:color w:val="auto"/>
              </w:rPr>
            </w:pPr>
          </w:p>
        </w:tc>
      </w:tr>
      <w:tr>
        <w:trPr>
          <w:trHeight w:val="220"/>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Other refinance</w:t>
            </w:r>
          </w:p>
        </w:tc>
        <w:tc>
          <w:tcPr>
            <w:tcW w:w="100" w:type="dxa"/>
            <w:vAlign w:val="bottom"/>
          </w:tcPr>
          <w:p>
            <w:pPr>
              <w:spacing w:after="0"/>
              <w:rPr>
                <w:sz w:val="19"/>
                <w:szCs w:val="19"/>
                <w:color w:val="auto"/>
              </w:rPr>
            </w:pPr>
          </w:p>
        </w:tc>
        <w:tc>
          <w:tcPr>
            <w:tcW w:w="640" w:type="dxa"/>
            <w:vAlign w:val="bottom"/>
            <w:tcBorders>
              <w:bottom w:val="single" w:sz="8" w:color="2C6937"/>
            </w:tcBorders>
          </w:tcPr>
          <w:p>
            <w:pPr>
              <w:spacing w:after="0"/>
              <w:rPr>
                <w:sz w:val="19"/>
                <w:szCs w:val="19"/>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9"/>
                <w:szCs w:val="19"/>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9"/>
                <w:szCs w:val="19"/>
                <w:color w:val="auto"/>
              </w:rPr>
            </w:pPr>
          </w:p>
        </w:tc>
      </w:tr>
      <w:tr>
        <w:trPr>
          <w:trHeight w:val="213"/>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7"/>
                <w:szCs w:val="17"/>
                <w:b w:val="1"/>
                <w:bCs w:val="1"/>
                <w:color w:val="auto"/>
                <w:vertAlign w:val="superscript"/>
              </w:rPr>
              <w:t>(9)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99"/>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Midwest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Northeast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9"/>
                <w:szCs w:val="19"/>
                <w:color w:val="auto"/>
              </w:rPr>
            </w:pPr>
          </w:p>
        </w:tc>
      </w:tr>
      <w:tr>
        <w:trPr>
          <w:trHeight w:val="219"/>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Southeast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9"/>
                <w:szCs w:val="19"/>
                <w:color w:val="auto"/>
              </w:rPr>
            </w:pPr>
          </w:p>
        </w:tc>
      </w:tr>
      <w:tr>
        <w:trPr>
          <w:trHeight w:val="219"/>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Southwest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180" w:type="dxa"/>
            <w:vAlign w:val="bottom"/>
          </w:tcPr>
          <w:p>
            <w:pPr>
              <w:spacing w:after="0"/>
              <w:rPr>
                <w:sz w:val="19"/>
                <w:szCs w:val="19"/>
                <w:color w:val="auto"/>
              </w:rPr>
            </w:pPr>
          </w:p>
        </w:tc>
      </w:tr>
      <w:tr>
        <w:trPr>
          <w:trHeight w:val="220"/>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West</w:t>
            </w:r>
          </w:p>
        </w:tc>
        <w:tc>
          <w:tcPr>
            <w:tcW w:w="100" w:type="dxa"/>
            <w:vAlign w:val="bottom"/>
          </w:tcPr>
          <w:p>
            <w:pPr>
              <w:spacing w:after="0"/>
              <w:rPr>
                <w:sz w:val="19"/>
                <w:szCs w:val="19"/>
                <w:color w:val="auto"/>
              </w:rPr>
            </w:pPr>
          </w:p>
        </w:tc>
        <w:tc>
          <w:tcPr>
            <w:tcW w:w="640" w:type="dxa"/>
            <w:vAlign w:val="bottom"/>
            <w:tcBorders>
              <w:bottom w:val="single" w:sz="8" w:color="2C6937"/>
            </w:tcBorders>
          </w:tcPr>
          <w:p>
            <w:pPr>
              <w:spacing w:after="0"/>
              <w:rPr>
                <w:sz w:val="19"/>
                <w:szCs w:val="19"/>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9"/>
                <w:szCs w:val="19"/>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21</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9"/>
                <w:szCs w:val="19"/>
                <w:color w:val="auto"/>
              </w:rPr>
            </w:pPr>
          </w:p>
        </w:tc>
      </w:tr>
      <w:tr>
        <w:trPr>
          <w:trHeight w:val="213"/>
        </w:trPr>
        <w:tc>
          <w:tcPr>
            <w:tcW w:w="3260" w:type="dxa"/>
            <w:vAlign w:val="bottom"/>
            <w:gridSpan w:val="3"/>
          </w:tcPr>
          <w:p>
            <w:pPr>
              <w:ind w:left="220"/>
              <w:spacing w:after="0"/>
              <w:rPr>
                <w:sz w:val="20"/>
                <w:szCs w:val="20"/>
                <w:color w:val="auto"/>
              </w:rPr>
            </w:pPr>
            <w:r>
              <w:rPr>
                <w:rFonts w:ascii="Arial" w:cs="Arial" w:eastAsia="Arial" w:hAnsi="Arial"/>
                <w:sz w:val="14"/>
                <w:szCs w:val="14"/>
                <w:color w:val="auto"/>
              </w:rPr>
              <w:t>Total</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4"/>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Origination year:</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3"/>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2018 and prior</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3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2019</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2020</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2021</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2022</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2023</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5963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5963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96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5963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spacing w:after="0" w:line="193" w:lineRule="exact"/>
        <w:rPr>
          <w:sz w:val="20"/>
          <w:szCs w:val="20"/>
          <w:color w:val="auto"/>
        </w:rPr>
      </w:pPr>
    </w:p>
    <w:p>
      <w:pPr>
        <w:ind w:left="200" w:hanging="197"/>
        <w:spacing w:after="0"/>
        <w:tabs>
          <w:tab w:leader="none" w:pos="2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business volume or guaranty book of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Percent of Single-Family Conventional</w:t>
      </w:r>
    </w:p>
    <w:p>
      <w:pPr>
        <w:ind w:left="980"/>
        <w:spacing w:after="0" w:line="183" w:lineRule="auto"/>
        <w:rPr>
          <w:sz w:val="20"/>
          <w:szCs w:val="20"/>
          <w:color w:val="auto"/>
        </w:rPr>
      </w:pPr>
      <w:r>
        <w:rPr>
          <w:rFonts w:ascii="Arial" w:cs="Arial" w:eastAsia="Arial" w:hAnsi="Arial"/>
          <w:sz w:val="14"/>
          <w:szCs w:val="14"/>
          <w:b w:val="1"/>
          <w:bCs w:val="1"/>
          <w:color w:val="auto"/>
        </w:rPr>
        <w:t>Guaranty Book of Business</w:t>
      </w:r>
      <w:r>
        <w:rPr>
          <w:rFonts w:ascii="Arial" w:cs="Arial" w:eastAsia="Arial" w:hAnsi="Arial"/>
          <w:sz w:val="17"/>
          <w:szCs w:val="17"/>
          <w:b w:val="1"/>
          <w:bCs w:val="1"/>
          <w:color w:val="auto"/>
          <w:vertAlign w:val="superscript"/>
        </w:rPr>
        <w:t>(3)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Borders>
              <w:top w:val="single" w:sz="8" w:color="2C6937"/>
              <w:bottom w:val="single" w:sz="8" w:color="2C6937"/>
            </w:tcBorders>
          </w:tcPr>
          <w:p>
            <w:pPr>
              <w:jc w:val="right"/>
              <w:ind w:right="331"/>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Borders>
              <w:top w:val="single" w:sz="8" w:color="2C6937"/>
            </w:tcBorders>
          </w:tcPr>
          <w:p>
            <w:pPr>
              <w:spacing w:after="0"/>
              <w:rPr>
                <w:sz w:val="16"/>
                <w:szCs w:val="16"/>
                <w:color w:val="auto"/>
              </w:rPr>
            </w:pPr>
          </w:p>
        </w:tc>
        <w:tc>
          <w:tcPr>
            <w:tcW w:w="170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b w:val="1"/>
                <w:bCs w:val="1"/>
                <w:color w:val="auto"/>
              </w:rPr>
              <w:t>December 31, 2023</w:t>
            </w:r>
          </w:p>
        </w:tc>
        <w:tc>
          <w:tcPr>
            <w:tcW w:w="240" w:type="dxa"/>
            <w:vAlign w:val="bottom"/>
            <w:tcBorders>
              <w:top w:val="single" w:sz="8" w:color="2C6937"/>
            </w:tcBorders>
          </w:tcPr>
          <w:p>
            <w:pPr>
              <w:spacing w:after="0"/>
              <w:rPr>
                <w:sz w:val="16"/>
                <w:szCs w:val="16"/>
                <w:color w:val="auto"/>
              </w:rPr>
            </w:pPr>
          </w:p>
        </w:tc>
      </w:tr>
      <w:tr>
        <w:trPr>
          <w:trHeight w:val="636"/>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88</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87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9"/>
                <w:szCs w:val="19"/>
                <w:color w:val="auto"/>
              </w:rPr>
            </w:pPr>
          </w:p>
        </w:tc>
      </w:tr>
      <w:tr>
        <w:trPr>
          <w:trHeight w:val="212"/>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spacing w:after="0"/>
              <w:rPr>
                <w:sz w:val="18"/>
                <w:szCs w:val="18"/>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240" w:type="dxa"/>
            <w:vAlign w:val="bottom"/>
          </w:tcPr>
          <w:p>
            <w:pPr>
              <w:spacing w:after="0"/>
              <w:rPr>
                <w:sz w:val="18"/>
                <w:szCs w:val="18"/>
                <w:color w:val="auto"/>
              </w:rPr>
            </w:pPr>
          </w:p>
        </w:tc>
      </w:tr>
      <w:tr>
        <w:trPr>
          <w:trHeight w:val="212"/>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8"/>
                <w:szCs w:val="18"/>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8"/>
                <w:szCs w:val="18"/>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98</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3"/>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46</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45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9"/>
                <w:szCs w:val="19"/>
                <w:color w:val="auto"/>
              </w:rPr>
            </w:pP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34</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9"/>
                <w:szCs w:val="19"/>
                <w:color w:val="auto"/>
              </w:rPr>
            </w:pP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28</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29</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9"/>
                <w:szCs w:val="19"/>
                <w:color w:val="auto"/>
              </w:rPr>
            </w:pP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482" w:lineRule="exact"/>
        <w:rPr>
          <w:sz w:val="20"/>
          <w:szCs w:val="20"/>
          <w:color w:val="auto"/>
        </w:rPr>
      </w:pPr>
    </w:p>
    <w:p>
      <w:pPr>
        <w:sectPr>
          <w:pgSz w:w="11900" w:h="16838" w:orient="portrait"/>
          <w:cols w:equalWidth="0" w:num="2">
            <w:col w:w="7300" w:space="60"/>
            <w:col w:w="3880"/>
          </w:cols>
          <w:pgMar w:left="320" w:top="248" w:right="3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28" w:name="page29"/>
    <w:bookmarkEnd w:id="28"/>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hanging="217"/>
        <w:spacing w:after="0"/>
        <w:tabs>
          <w:tab w:leader="none" w:pos="2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Second-lien mortgage loans held by third parties are not reflected in the original LTV or the estimated mark-to-market LTV ratios in this table.</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single-family loans for each category at time of acquisition.</w:t>
      </w:r>
    </w:p>
    <w:p>
      <w:pPr>
        <w:spacing w:after="0" w:line="38" w:lineRule="exact"/>
        <w:rPr>
          <w:rFonts w:ascii="Arial" w:cs="Arial" w:eastAsia="Arial" w:hAnsi="Arial"/>
          <w:sz w:val="18"/>
          <w:szCs w:val="18"/>
          <w:color w:val="auto"/>
          <w:vertAlign w:val="superscript"/>
        </w:rPr>
      </w:pPr>
    </w:p>
    <w:p>
      <w:pPr>
        <w:ind w:left="240" w:right="160" w:hanging="237"/>
        <w:spacing w:after="0" w:line="219" w:lineRule="auto"/>
        <w:tabs>
          <w:tab w:leader="none" w:pos="233"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unpaid principal balance of single-family loans for each category divided by the aggregate unpaid principal balance of loans in our single-family conventional guaranty book of business as of the end of each period.</w:t>
      </w:r>
    </w:p>
    <w:p>
      <w:pPr>
        <w:spacing w:after="0" w:line="13" w:lineRule="exact"/>
        <w:rPr>
          <w:rFonts w:ascii="Arial" w:cs="Arial" w:eastAsia="Arial" w:hAnsi="Arial"/>
          <w:sz w:val="18"/>
          <w:szCs w:val="18"/>
          <w:color w:val="auto"/>
          <w:vertAlign w:val="superscript"/>
        </w:rPr>
      </w:pPr>
    </w:p>
    <w:p>
      <w:pPr>
        <w:ind w:left="240" w:right="240" w:hanging="237"/>
        <w:spacing w:after="0" w:line="275" w:lineRule="auto"/>
        <w:tabs>
          <w:tab w:leader="none" w:pos="233" w:val="left"/>
        </w:tabs>
        <w:numPr>
          <w:ilvl w:val="0"/>
          <w:numId w:val="29"/>
        </w:numPr>
        <w:rPr>
          <w:rFonts w:ascii="Arial" w:cs="Arial" w:eastAsia="Arial" w:hAnsi="Arial"/>
          <w:sz w:val="9"/>
          <w:szCs w:val="9"/>
          <w:color w:val="auto"/>
        </w:rPr>
      </w:pPr>
      <w:r>
        <w:rPr>
          <w:rFonts w:ascii="Arial" w:cs="Arial" w:eastAsia="Arial" w:hAnsi="Arial"/>
          <w:sz w:val="14"/>
          <w:szCs w:val="14"/>
          <w:color w:val="auto"/>
        </w:rPr>
        <w:t>The original LTV ratio generally is based on the original unpaid principal balance of the loan divided by the appraised property value reported to us at the time of acquisition of the loan. Excludes loans for which this information is not readily available.</w:t>
      </w:r>
    </w:p>
    <w:p>
      <w:pPr>
        <w:spacing w:after="0" w:line="4" w:lineRule="exact"/>
        <w:rPr>
          <w:rFonts w:ascii="Arial" w:cs="Arial" w:eastAsia="Arial" w:hAnsi="Arial"/>
          <w:sz w:val="9"/>
          <w:szCs w:val="9"/>
          <w:color w:val="auto"/>
        </w:rPr>
      </w:pPr>
    </w:p>
    <w:p>
      <w:pPr>
        <w:ind w:left="240" w:right="20" w:hanging="237"/>
        <w:spacing w:after="0" w:line="244" w:lineRule="auto"/>
        <w:tabs>
          <w:tab w:leader="none" w:pos="233" w:val="left"/>
        </w:tabs>
        <w:numPr>
          <w:ilvl w:val="0"/>
          <w:numId w:val="29"/>
        </w:numPr>
        <w:rPr>
          <w:rFonts w:ascii="Arial" w:cs="Arial" w:eastAsia="Arial" w:hAnsi="Arial"/>
          <w:sz w:val="17"/>
          <w:szCs w:val="17"/>
          <w:color w:val="auto"/>
          <w:vertAlign w:val="superscript"/>
        </w:rPr>
      </w:pPr>
      <w:r>
        <w:rPr>
          <w:rFonts w:ascii="Arial" w:cs="Arial" w:eastAsia="Arial" w:hAnsi="Arial"/>
          <w:sz w:val="13"/>
          <w:szCs w:val="13"/>
          <w:color w:val="auto"/>
        </w:rPr>
        <w:t>The aggregate estimated mark-to-market LTV ratio is based on the unpaid principal balance of the loan as of the end of each reported period divided by the estimated current value of the property, which we calculate using an internal valuation model that estimates periodic changes in home value. Excludes loans for which this information is not readily available.</w:t>
      </w:r>
    </w:p>
    <w:p>
      <w:pPr>
        <w:spacing w:after="0" w:line="23" w:lineRule="exact"/>
        <w:rPr>
          <w:rFonts w:ascii="Arial" w:cs="Arial" w:eastAsia="Arial" w:hAnsi="Arial"/>
          <w:sz w:val="17"/>
          <w:szCs w:val="17"/>
          <w:color w:val="auto"/>
          <w:vertAlign w:val="superscript"/>
        </w:rPr>
      </w:pPr>
    </w:p>
    <w:p>
      <w:pPr>
        <w:ind w:left="240" w:right="240" w:hanging="237"/>
        <w:spacing w:after="0" w:line="218" w:lineRule="auto"/>
        <w:tabs>
          <w:tab w:leader="none" w:pos="233"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Loans with unavailable FICO credit scores represent less than 0.5% of single-family conventional business volume or guaranty book of business, and therefore are not presented separately in this table.</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29"/>
        </w:numPr>
        <w:rPr>
          <w:rFonts w:ascii="Arial" w:cs="Arial" w:eastAsia="Arial" w:hAnsi="Arial"/>
          <w:sz w:val="9"/>
          <w:szCs w:val="9"/>
          <w:color w:val="auto"/>
        </w:rPr>
      </w:pPr>
      <w:r>
        <w:rPr>
          <w:rFonts w:ascii="Arial" w:cs="Arial" w:eastAsia="Arial" w:hAnsi="Arial"/>
          <w:sz w:val="14"/>
          <w:szCs w:val="14"/>
          <w:color w:val="auto"/>
        </w:rPr>
        <w:t>Excludes loans for which this information is not readily available.</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Long-term fixed-rate consists of mortgage loans with maturities greater than 15 years, while intermediate-term fixed-rate loans have maturities equal to or less than 15 years.</w:t>
      </w:r>
    </w:p>
    <w:p>
      <w:pPr>
        <w:spacing w:after="0" w:line="29" w:lineRule="exact"/>
        <w:rPr>
          <w:rFonts w:ascii="Arial" w:cs="Arial" w:eastAsia="Arial" w:hAnsi="Arial"/>
          <w:sz w:val="18"/>
          <w:szCs w:val="18"/>
          <w:color w:val="auto"/>
          <w:vertAlign w:val="superscript"/>
        </w:rPr>
      </w:pPr>
    </w:p>
    <w:p>
      <w:pPr>
        <w:ind w:left="240" w:right="160" w:hanging="237"/>
        <w:spacing w:after="0" w:line="239" w:lineRule="auto"/>
        <w:tabs>
          <w:tab w:leader="none" w:pos="233" w:val="left"/>
        </w:tabs>
        <w:numPr>
          <w:ilvl w:val="0"/>
          <w:numId w:val="29"/>
        </w:numPr>
        <w:rPr>
          <w:rFonts w:ascii="Arial" w:cs="Arial" w:eastAsia="Arial" w:hAnsi="Arial"/>
          <w:sz w:val="17"/>
          <w:szCs w:val="17"/>
          <w:color w:val="auto"/>
          <w:vertAlign w:val="superscript"/>
        </w:rPr>
      </w:pPr>
      <w:r>
        <w:rPr>
          <w:rFonts w:ascii="Arial" w:cs="Arial" w:eastAsia="Arial" w:hAnsi="Arial"/>
          <w:sz w:val="13"/>
          <w:szCs w:val="13"/>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51"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The share of our loan acquisitions with DTI ratios above 45% increased to 27% in the second quarter of 2024 compared with 24% in the second quarter of 2023. This increase was partially driven by the higher share of home purchase acquisitions, which tend to have a higher share of volume with DTI ratios above 45% than refinance loan acquisitions.</w:t>
      </w:r>
    </w:p>
    <w:p>
      <w:pPr>
        <w:spacing w:after="0" w:line="32"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For a discussion of factors that may impact the volume and credit characteristics of loans we acquire in the future, see “MD&amp;A—Single-Family Business— Single-Family Mortgage Credit Risk Management—Single-Family Guaranty Book Diversification and Monitoring” in our 2023 Form 10-K. In this section of our 2023 Form 10-K, we also provide more information on the credit characteristics of loans in our single-family conventional guaranty book of business, including high-balance loans and adjustable-rate mortgages.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Credit Enhancement and Transfer of Mortgage Credit Risk</w:t>
      </w:r>
    </w:p>
    <w:p>
      <w:pPr>
        <w:spacing w:after="0" w:line="67"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Our charter generally requires credit enhancement on any single-family conventional mortgage loan that we purchase or securitize if it has an LTV ratio over 80% at the time of purchase. We generally achieve this through primary mortgage insurance. We also enter into various other types of transactions in which we transfer mortgage credit risk to third parties.</w:t>
      </w:r>
    </w:p>
    <w:p>
      <w:pPr>
        <w:spacing w:after="0" w:line="24" w:lineRule="exact"/>
        <w:rPr>
          <w:sz w:val="20"/>
          <w:szCs w:val="20"/>
          <w:color w:val="auto"/>
        </w:rPr>
      </w:pPr>
    </w:p>
    <w:p>
      <w:pPr>
        <w:jc w:val="both"/>
        <w:ind w:right="80"/>
        <w:spacing w:after="0" w:line="271" w:lineRule="auto"/>
        <w:rPr>
          <w:sz w:val="20"/>
          <w:szCs w:val="20"/>
          <w:color w:val="auto"/>
        </w:rPr>
      </w:pPr>
      <w:r>
        <w:rPr>
          <w:rFonts w:ascii="Arial" w:cs="Arial" w:eastAsia="Arial" w:hAnsi="Arial"/>
          <w:sz w:val="16"/>
          <w:szCs w:val="16"/>
          <w:color w:val="auto"/>
        </w:rPr>
        <w:t>Our approved monoline mortgage insurers’ financial ability and willingness to pay claims is an important determinant of our overall credit risk exposure. For a discussion of our exposure to and management of the counterparty credit risk associated with the providers of these credit enhancements, see “MD&amp;A— Risk Management—Institutional Counterparty Credit Risk Management” and “Note 14, Concentrations of Credit Risk” in our 2023 Form 10-K and “Note 11, Concentrations of Credit Risk” in this report. Also see “Risk Factors—Credit Risk” in our 2023 Form 10-K.</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9" w:name="page30"/>
    <w:bookmarkEnd w:id="29"/>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table below displays information about loans in our single-family conventional guaranty book of business covered by one or more forms of credit enhancement, including mortgage insurance or a credit risk transfer transaction. For a description of primary mortgage insurance and the other types of credit enhancements specified in the table, see “MD&amp;A—Single-Family Business—Single-Family Mortgage Credit Risk Management—Single-Family Credit Enhancement and Transfer of Mortgage Credit Risk” in our 2023 Form 10-K.</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Loans with Credit Enhancement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spacing w:after="0"/>
              <w:rPr>
                <w:sz w:val="17"/>
                <w:szCs w:val="17"/>
                <w:color w:val="auto"/>
              </w:rPr>
            </w:pPr>
          </w:p>
        </w:tc>
      </w:tr>
      <w:tr>
        <w:trPr>
          <w:trHeight w:val="193"/>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845"/>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664"/>
              <w:spacing w:after="0"/>
              <w:rPr>
                <w:sz w:val="20"/>
                <w:szCs w:val="20"/>
                <w:color w:val="auto"/>
              </w:rPr>
            </w:pPr>
            <w:r>
              <w:rPr>
                <w:rFonts w:ascii="Arial" w:cs="Arial" w:eastAsia="Arial" w:hAnsi="Arial"/>
                <w:sz w:val="14"/>
                <w:szCs w:val="14"/>
                <w:b w:val="1"/>
                <w:bCs w:val="1"/>
                <w:color w:val="auto"/>
              </w:rPr>
              <w:t>December 31, 2023</w:t>
            </w:r>
          </w:p>
        </w:tc>
      </w:tr>
      <w:tr>
        <w:trPr>
          <w:trHeight w:val="178"/>
        </w:trPr>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Percentage of Single-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 Single-</w:t>
            </w:r>
          </w:p>
        </w:tc>
      </w:tr>
      <w:tr>
        <w:trPr>
          <w:trHeight w:val="155"/>
        </w:trPr>
        <w:tc>
          <w:tcPr>
            <w:tcW w:w="5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6"/>
              </w:rPr>
              <w:t>Unpaid</w:t>
            </w:r>
          </w:p>
        </w:tc>
        <w:tc>
          <w:tcPr>
            <w:tcW w:w="16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Family Conventional</w:t>
            </w:r>
          </w:p>
        </w:tc>
        <w:tc>
          <w:tcPr>
            <w:tcW w:w="180" w:type="dxa"/>
            <w:vAlign w:val="bottom"/>
          </w:tcPr>
          <w:p>
            <w:pPr>
              <w:spacing w:after="0"/>
              <w:rPr>
                <w:sz w:val="13"/>
                <w:szCs w:val="13"/>
                <w:color w:val="auto"/>
              </w:rPr>
            </w:pPr>
          </w:p>
        </w:tc>
        <w:tc>
          <w:tcPr>
            <w:tcW w:w="10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6"/>
              </w:rPr>
              <w:t>Unpaid</w:t>
            </w: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Family Conventional</w:t>
            </w:r>
          </w:p>
        </w:tc>
      </w:tr>
      <w:tr>
        <w:trPr>
          <w:trHeight w:val="168"/>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Principal</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Guaranty Book of</w:t>
            </w:r>
          </w:p>
        </w:tc>
        <w:tc>
          <w:tcPr>
            <w:tcW w:w="1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Principal</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8"/>
              </w:rPr>
              <w:t>Guaranty Book of</w:t>
            </w:r>
          </w:p>
        </w:tc>
      </w:tr>
      <w:tr>
        <w:trPr>
          <w:trHeight w:val="196"/>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center"/>
              <w:ind w:right="10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5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Business</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center"/>
              <w:ind w:right="84"/>
              <w:spacing w:after="0"/>
              <w:rPr>
                <w:sz w:val="20"/>
                <w:szCs w:val="20"/>
                <w:color w:val="auto"/>
              </w:rPr>
            </w:pPr>
            <w:r>
              <w:rPr>
                <w:rFonts w:ascii="Arial" w:cs="Arial" w:eastAsia="Arial" w:hAnsi="Arial"/>
                <w:sz w:val="14"/>
                <w:szCs w:val="14"/>
                <w:b w:val="1"/>
                <w:bCs w:val="1"/>
                <w:color w:val="auto"/>
                <w:w w:val="96"/>
              </w:rPr>
              <w:t>Balance</w:t>
            </w:r>
          </w:p>
        </w:tc>
        <w:tc>
          <w:tcPr>
            <w:tcW w:w="120" w:type="dxa"/>
            <w:vAlign w:val="bottom"/>
          </w:tcPr>
          <w:p>
            <w:pPr>
              <w:spacing w:after="0"/>
              <w:rPr>
                <w:sz w:val="17"/>
                <w:szCs w:val="17"/>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Business</w:t>
            </w:r>
          </w:p>
        </w:tc>
      </w:tr>
      <w:tr>
        <w:trPr>
          <w:trHeight w:val="192"/>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ind w:left="940"/>
              <w:spacing w:after="0"/>
              <w:rPr>
                <w:sz w:val="20"/>
                <w:szCs w:val="20"/>
                <w:color w:val="auto"/>
              </w:rPr>
            </w:pPr>
            <w:r>
              <w:rPr>
                <w:rFonts w:ascii="Arial" w:cs="Arial" w:eastAsia="Arial" w:hAnsi="Arial"/>
                <w:sz w:val="14"/>
                <w:szCs w:val="14"/>
                <w:b w:val="1"/>
                <w:bCs w:val="1"/>
                <w:color w:val="auto"/>
              </w:rPr>
              <w:t>(Dollars in billions)</w:t>
            </w:r>
          </w:p>
        </w:tc>
        <w:tc>
          <w:tcPr>
            <w:tcW w:w="1560" w:type="dxa"/>
            <w:vAlign w:val="bottom"/>
          </w:tcPr>
          <w:p>
            <w:pPr>
              <w:spacing w:after="0"/>
              <w:rPr>
                <w:sz w:val="16"/>
                <w:szCs w:val="16"/>
                <w:color w:val="auto"/>
              </w:rPr>
            </w:pPr>
          </w:p>
        </w:tc>
      </w:tr>
      <w:tr>
        <w:trPr>
          <w:trHeight w:val="24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Primary mortgage insurance and other</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760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21 %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Connecticut Avenue Securities</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870</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24</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Credit Insurance Risk Transfer</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432</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11</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Lender risk-sharing</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47</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w:t>
            </w:r>
          </w:p>
        </w:tc>
      </w:tr>
      <w:tr>
        <w:trPr>
          <w:trHeight w:val="234"/>
        </w:trPr>
        <w:tc>
          <w:tcPr>
            <w:tcW w:w="55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Less: Loans covered by multiple credit enhancements</w:t>
            </w:r>
          </w:p>
        </w:tc>
        <w:tc>
          <w:tcPr>
            <w:tcW w:w="14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(422)</w:t>
            </w:r>
          </w:p>
        </w:tc>
        <w:tc>
          <w:tcPr>
            <w:tcW w:w="100" w:type="dxa"/>
            <w:vAlign w:val="bottom"/>
          </w:tcPr>
          <w:p>
            <w:pPr>
              <w:spacing w:after="0"/>
              <w:rPr>
                <w:sz w:val="20"/>
                <w:szCs w:val="20"/>
                <w:color w:val="auto"/>
              </w:rPr>
            </w:pPr>
          </w:p>
        </w:tc>
        <w:tc>
          <w:tcPr>
            <w:tcW w:w="1580" w:type="dxa"/>
            <w:vAlign w:val="bottom"/>
            <w:tcBorders>
              <w:bottom w:val="single" w:sz="8" w:color="2C6937"/>
            </w:tcBorders>
          </w:tcPr>
          <w:p>
            <w:pPr>
              <w:jc w:val="right"/>
              <w:ind w:right="105"/>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0"/>
                <w:szCs w:val="20"/>
                <w:color w:val="auto"/>
              </w:rPr>
            </w:pPr>
          </w:p>
        </w:tc>
        <w:tc>
          <w:tcPr>
            <w:tcW w:w="1560" w:type="dxa"/>
            <w:vAlign w:val="bottom"/>
            <w:tcBorders>
              <w:bottom w:val="single" w:sz="8" w:color="2C6937"/>
            </w:tcBorders>
          </w:tcPr>
          <w:p>
            <w:pPr>
              <w:jc w:val="right"/>
              <w:ind w:right="84"/>
              <w:spacing w:after="0"/>
              <w:rPr>
                <w:sz w:val="20"/>
                <w:szCs w:val="20"/>
                <w:color w:val="auto"/>
              </w:rPr>
            </w:pPr>
            <w:r>
              <w:rPr>
                <w:rFonts w:ascii="Arial" w:cs="Arial" w:eastAsia="Arial" w:hAnsi="Arial"/>
                <w:sz w:val="16"/>
                <w:szCs w:val="16"/>
                <w:color w:val="auto"/>
              </w:rPr>
              <w:t>(12)</w:t>
            </w:r>
          </w:p>
        </w:tc>
      </w:tr>
      <w:tr>
        <w:trPr>
          <w:trHeight w:val="225"/>
        </w:trPr>
        <w:tc>
          <w:tcPr>
            <w:tcW w:w="5660" w:type="dxa"/>
            <w:vAlign w:val="bottom"/>
            <w:gridSpan w:val="2"/>
          </w:tcPr>
          <w:p>
            <w:pPr>
              <w:ind w:left="320"/>
              <w:spacing w:after="0"/>
              <w:rPr>
                <w:sz w:val="20"/>
                <w:szCs w:val="20"/>
                <w:color w:val="auto"/>
              </w:rPr>
            </w:pPr>
            <w:r>
              <w:rPr>
                <w:rFonts w:ascii="Arial" w:cs="Arial" w:eastAsia="Arial" w:hAnsi="Arial"/>
                <w:sz w:val="15"/>
                <w:szCs w:val="15"/>
                <w:color w:val="auto"/>
              </w:rPr>
              <w:t>Total single-family loans with credit enhancement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1,687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47 %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1,646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45 %</w:t>
            </w:r>
          </w:p>
        </w:tc>
      </w:tr>
      <w:tr>
        <w:trPr>
          <w:trHeight w:val="21"/>
        </w:trPr>
        <w:tc>
          <w:tcPr>
            <w:tcW w:w="55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Transfer of Mortgage Credit Risk</w:t>
      </w:r>
    </w:p>
    <w:p>
      <w:pPr>
        <w:spacing w:after="0" w:line="8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In addition to primary mortgage insurance, our Single-Family business has developed other risk-sharing capabilities to transfer portions of our single-family mortgage credit risk to the private market. Our credit risk transfer transactions are generally designed to transfer a portion of the losses we expect would be incurred in an economic downturn or a stressed credit environment. Generally, loss reimbursement payments are received after the underlying property has been liquidated and all applicable proceeds, including private mortgage insurance benefits, have been applied to reduce the loss. As described in “MD&amp;A— Single-Family Business—Single-Family Mortgage Credit Risk Management—Single-Family Credit Enhancement and Transfer of Mortgage Credit Risk— Credit Risk Transfer Transactions” in our 2023 Form 10-K, our two primary single-family credit risk transfer programs are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(“CAS”) and Credit Insurance Risk Transfer™ (“CIRT™”).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 the first half of 2024, we transferred a portion of the mortgage credit risk on single-family mortgage loans with an unpaid principal balance of</w:t>
      </w:r>
    </w:p>
    <w:p>
      <w:pPr>
        <w:spacing w:after="0" w:line="3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$133.9 billion at the time of the transactions. When engaging in credit risk transfer transactions, we consider their cost, the resulting capital relief, and the overall credit risk transfer capacity of the market. The cost of our credit risk transfer transactions is impacted by macroeconomic and housing market sentiment, as well as the demand and capacity of the investors and reinsurers that support these transactions. Capacity considers both the total aggregate amount of outstanding coverage as well as the volume of new issuances available in the market. In response to these factors, we may choose to adjust the amount of first loss retained by Fannie Mae as a way to manage costs or market capacity when structuring our credit risk transfer transactions.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27</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0" w:name="page31"/>
    <w:bookmarkEnd w:id="30"/>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80"/>
        <w:spacing w:after="0" w:line="272" w:lineRule="auto"/>
        <w:rPr>
          <w:sz w:val="20"/>
          <w:szCs w:val="20"/>
          <w:color w:val="auto"/>
        </w:rPr>
      </w:pPr>
      <w:r>
        <w:rPr>
          <w:rFonts w:ascii="Arial" w:cs="Arial" w:eastAsia="Arial" w:hAnsi="Arial"/>
          <w:sz w:val="16"/>
          <w:szCs w:val="16"/>
          <w:color w:val="auto"/>
        </w:rPr>
        <w:t>The table below displays the aggregate mortgage credit risk transferred to third parties and retained by Fannie Mae pursuant to our single-family credit risk transfer transactions. The table does not include the credit risk transferred on single-family transactions that were cancelled or terminated through June 30, 2024. The following table also excludes coverage obtained through primary mortgage insurance.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Outstanding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38735</wp:posOffset>
            </wp:positionV>
            <wp:extent cx="70891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billions)</w:t>
      </w:r>
    </w:p>
    <w:p>
      <w:pPr>
        <w:spacing w:after="0" w:line="35" w:lineRule="exact"/>
        <w:rPr>
          <w:sz w:val="20"/>
          <w:szCs w:val="20"/>
          <w:color w:val="auto"/>
        </w:rPr>
      </w:pPr>
    </w:p>
    <w:tbl>
      <w:tblPr>
        <w:tblLayout w:type="fixed"/>
        <w:tblInd w:w="1930" w:type="dxa"/>
        <w:tblCellMar>
          <w:top w:w="0" w:type="dxa"/>
          <w:left w:w="0" w:type="dxa"/>
          <w:bottom w:w="0" w:type="dxa"/>
          <w:right w:w="0" w:type="dxa"/>
        </w:tblCellMar>
      </w:tblPr>
      <w:tr>
        <w:trPr>
          <w:trHeight w:val="290"/>
        </w:trPr>
        <w:tc>
          <w:tcPr>
            <w:tcW w:w="15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Senior</w:t>
            </w:r>
          </w:p>
        </w:tc>
        <w:tc>
          <w:tcPr>
            <w:tcW w:w="100" w:type="dxa"/>
            <w:vAlign w:val="bottom"/>
            <w:tcBorders>
              <w:right w:val="single" w:sz="8" w:color="auto"/>
            </w:tcBorders>
          </w:tcPr>
          <w:p>
            <w:pPr>
              <w:spacing w:after="0"/>
              <w:rPr>
                <w:sz w:val="24"/>
                <w:szCs w:val="24"/>
                <w:color w:val="auto"/>
              </w:rPr>
            </w:pPr>
          </w:p>
        </w:tc>
        <w:tc>
          <w:tcPr>
            <w:tcW w:w="1440" w:type="dxa"/>
            <w:vAlign w:val="bottom"/>
            <w:tcBorders>
              <w:top w:val="single" w:sz="8" w:color="auto"/>
              <w:right w:val="single" w:sz="8" w:color="D9D7DC"/>
            </w:tcBorders>
            <w:shd w:val="clear" w:color="auto" w:fill="D9D7DC"/>
          </w:tcPr>
          <w:p>
            <w:pPr>
              <w:spacing w:after="0"/>
              <w:rPr>
                <w:sz w:val="24"/>
                <w:szCs w:val="24"/>
                <w:color w:val="auto"/>
              </w:rPr>
            </w:pPr>
          </w:p>
        </w:tc>
        <w:tc>
          <w:tcPr>
            <w:tcW w:w="100" w:type="dxa"/>
            <w:vAlign w:val="bottom"/>
            <w:tcBorders>
              <w:top w:val="single" w:sz="8" w:color="auto"/>
              <w:right w:val="single" w:sz="8" w:color="D9D7DC"/>
            </w:tcBorders>
            <w:shd w:val="clear" w:color="auto" w:fill="D9D7DC"/>
          </w:tcPr>
          <w:p>
            <w:pPr>
              <w:spacing w:after="0"/>
              <w:rPr>
                <w:sz w:val="24"/>
                <w:szCs w:val="24"/>
                <w:color w:val="auto"/>
              </w:rPr>
            </w:pPr>
          </w:p>
        </w:tc>
        <w:tc>
          <w:tcPr>
            <w:tcW w:w="440" w:type="dxa"/>
            <w:vAlign w:val="bottom"/>
            <w:tcBorders>
              <w:top w:val="single" w:sz="8" w:color="auto"/>
            </w:tcBorders>
            <w:shd w:val="clear" w:color="auto" w:fill="D9D7DC"/>
          </w:tcPr>
          <w:p>
            <w:pPr>
              <w:spacing w:after="0"/>
              <w:rPr>
                <w:sz w:val="24"/>
                <w:szCs w:val="24"/>
                <w:color w:val="auto"/>
              </w:rPr>
            </w:pPr>
          </w:p>
        </w:tc>
        <w:tc>
          <w:tcPr>
            <w:tcW w:w="540" w:type="dxa"/>
            <w:vAlign w:val="bottom"/>
            <w:tcBorders>
              <w:top w:val="single" w:sz="8" w:color="auto"/>
            </w:tcBorders>
            <w:shd w:val="clear" w:color="auto" w:fill="D9D7DC"/>
          </w:tcPr>
          <w:p>
            <w:pPr>
              <w:spacing w:after="0"/>
              <w:rPr>
                <w:sz w:val="24"/>
                <w:szCs w:val="24"/>
                <w:color w:val="auto"/>
              </w:rPr>
            </w:pPr>
          </w:p>
        </w:tc>
        <w:tc>
          <w:tcPr>
            <w:tcW w:w="2000" w:type="dxa"/>
            <w:vAlign w:val="bottom"/>
            <w:tcBorders>
              <w:top w:val="single" w:sz="8" w:color="auto"/>
              <w:right w:val="single" w:sz="8" w:color="D9D7DC"/>
            </w:tcBorders>
            <w:gridSpan w:val="3"/>
            <w:shd w:val="clear" w:color="auto" w:fill="D9D7DC"/>
          </w:tcPr>
          <w:p>
            <w:pPr>
              <w:jc w:val="center"/>
              <w:ind w:right="918"/>
              <w:spacing w:after="0"/>
              <w:rPr>
                <w:sz w:val="20"/>
                <w:szCs w:val="20"/>
                <w:color w:val="auto"/>
              </w:rPr>
            </w:pPr>
            <w:r>
              <w:rPr>
                <w:rFonts w:ascii="Arial" w:cs="Arial" w:eastAsia="Arial" w:hAnsi="Arial"/>
                <w:sz w:val="15"/>
                <w:szCs w:val="15"/>
                <w:color w:val="auto"/>
                <w:w w:val="98"/>
              </w:rPr>
              <w:t>Fannie Mae</w:t>
            </w:r>
            <w:r>
              <w:rPr>
                <w:rFonts w:ascii="Arial" w:cs="Arial" w:eastAsia="Arial" w:hAnsi="Arial"/>
                <w:sz w:val="20"/>
                <w:szCs w:val="20"/>
                <w:color w:val="auto"/>
                <w:w w:val="98"/>
                <w:vertAlign w:val="superscript"/>
              </w:rPr>
              <w:t>(1)</w:t>
            </w:r>
          </w:p>
        </w:tc>
        <w:tc>
          <w:tcPr>
            <w:tcW w:w="100" w:type="dxa"/>
            <w:vAlign w:val="bottom"/>
            <w:tcBorders>
              <w:top w:val="single" w:sz="8" w:color="auto"/>
              <w:right w:val="single" w:sz="8" w:color="D9D7DC"/>
            </w:tcBorders>
            <w:shd w:val="clear" w:color="auto" w:fill="D9D7DC"/>
          </w:tcPr>
          <w:p>
            <w:pPr>
              <w:spacing w:after="0"/>
              <w:rPr>
                <w:sz w:val="24"/>
                <w:szCs w:val="24"/>
                <w:color w:val="auto"/>
              </w:rPr>
            </w:pPr>
          </w:p>
        </w:tc>
        <w:tc>
          <w:tcPr>
            <w:tcW w:w="1460" w:type="dxa"/>
            <w:vAlign w:val="bottom"/>
            <w:tcBorders>
              <w:top w:val="single" w:sz="8" w:color="auto"/>
              <w:right w:val="single" w:sz="8" w:color="auto"/>
            </w:tcBorders>
            <w:shd w:val="clear" w:color="auto" w:fill="D9D7DC"/>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60" w:type="dxa"/>
            <w:vAlign w:val="bottom"/>
            <w:tcBorders>
              <w:top w:val="single" w:sz="8" w:color="auto"/>
              <w:right w:val="single" w:sz="8" w:color="auto"/>
            </w:tcBorders>
            <w:shd w:val="clear" w:color="auto" w:fill="000F2B"/>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56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40" w:type="dxa"/>
            <w:vAlign w:val="bottom"/>
            <w:tcBorders>
              <w:right w:val="single" w:sz="8" w:color="D9D7DC"/>
            </w:tcBorders>
            <w:shd w:val="clear" w:color="auto" w:fill="D9D7DC"/>
          </w:tcPr>
          <w:p>
            <w:pPr>
              <w:spacing w:after="0"/>
              <w:rPr>
                <w:sz w:val="9"/>
                <w:szCs w:val="9"/>
                <w:color w:val="auto"/>
              </w:rPr>
            </w:pPr>
          </w:p>
        </w:tc>
        <w:tc>
          <w:tcPr>
            <w:tcW w:w="100" w:type="dxa"/>
            <w:vAlign w:val="bottom"/>
            <w:tcBorders>
              <w:right w:val="single" w:sz="8" w:color="D9D7DC"/>
            </w:tcBorders>
            <w:shd w:val="clear" w:color="auto" w:fill="D9D7DC"/>
          </w:tcPr>
          <w:p>
            <w:pPr>
              <w:spacing w:after="0"/>
              <w:rPr>
                <w:sz w:val="9"/>
                <w:szCs w:val="9"/>
                <w:color w:val="auto"/>
              </w:rPr>
            </w:pPr>
          </w:p>
        </w:tc>
        <w:tc>
          <w:tcPr>
            <w:tcW w:w="440" w:type="dxa"/>
            <w:vAlign w:val="bottom"/>
            <w:shd w:val="clear" w:color="auto" w:fill="D9D7DC"/>
          </w:tcPr>
          <w:p>
            <w:pPr>
              <w:spacing w:after="0"/>
              <w:rPr>
                <w:sz w:val="9"/>
                <w:szCs w:val="9"/>
                <w:color w:val="auto"/>
              </w:rPr>
            </w:pPr>
          </w:p>
        </w:tc>
        <w:tc>
          <w:tcPr>
            <w:tcW w:w="540" w:type="dxa"/>
            <w:vAlign w:val="bottom"/>
            <w:shd w:val="clear" w:color="auto" w:fill="D9D7DC"/>
          </w:tcPr>
          <w:p>
            <w:pPr>
              <w:spacing w:after="0"/>
              <w:rPr>
                <w:sz w:val="9"/>
                <w:szCs w:val="9"/>
                <w:color w:val="auto"/>
              </w:rPr>
            </w:pPr>
          </w:p>
        </w:tc>
        <w:tc>
          <w:tcPr>
            <w:tcW w:w="2000" w:type="dxa"/>
            <w:vAlign w:val="bottom"/>
            <w:tcBorders>
              <w:right w:val="single" w:sz="8" w:color="D9D7DC"/>
            </w:tcBorders>
            <w:gridSpan w:val="3"/>
            <w:vMerge w:val="restart"/>
            <w:shd w:val="clear" w:color="auto" w:fill="D9D7DC"/>
          </w:tcPr>
          <w:p>
            <w:pPr>
              <w:jc w:val="right"/>
              <w:ind w:right="1198"/>
              <w:spacing w:after="0"/>
              <w:rPr>
                <w:sz w:val="20"/>
                <w:szCs w:val="20"/>
                <w:color w:val="auto"/>
              </w:rPr>
            </w:pPr>
            <w:r>
              <w:rPr>
                <w:rFonts w:ascii="Arial" w:cs="Arial" w:eastAsia="Arial" w:hAnsi="Arial"/>
                <w:sz w:val="15"/>
                <w:szCs w:val="15"/>
                <w:color w:val="auto"/>
              </w:rPr>
              <w:t>$1,294</w:t>
            </w:r>
          </w:p>
        </w:tc>
        <w:tc>
          <w:tcPr>
            <w:tcW w:w="100" w:type="dxa"/>
            <w:vAlign w:val="bottom"/>
            <w:tcBorders>
              <w:right w:val="single" w:sz="8" w:color="D9D7DC"/>
            </w:tcBorders>
            <w:shd w:val="clear" w:color="auto" w:fill="D9D7DC"/>
          </w:tcPr>
          <w:p>
            <w:pPr>
              <w:spacing w:after="0"/>
              <w:rPr>
                <w:sz w:val="9"/>
                <w:szCs w:val="9"/>
                <w:color w:val="auto"/>
              </w:rPr>
            </w:pPr>
          </w:p>
        </w:tc>
        <w:tc>
          <w:tcPr>
            <w:tcW w:w="1460" w:type="dxa"/>
            <w:vAlign w:val="bottom"/>
            <w:tcBorders>
              <w:right w:val="single" w:sz="8" w:color="auto"/>
            </w:tcBorders>
            <w:shd w:val="clear" w:color="auto" w:fill="D9D7DC"/>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shd w:val="clear" w:color="auto" w:fill="000F2B"/>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560" w:type="dxa"/>
            <w:vAlign w:val="bottom"/>
            <w:tcBorders>
              <w:left w:val="single" w:sz="8" w:color="auto"/>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440" w:type="dxa"/>
            <w:vAlign w:val="bottom"/>
            <w:tcBorders>
              <w:right w:val="single" w:sz="8" w:color="D9D7DC"/>
            </w:tcBorders>
            <w:shd w:val="clear" w:color="auto" w:fill="D9D7DC"/>
          </w:tcPr>
          <w:p>
            <w:pPr>
              <w:spacing w:after="0"/>
              <w:rPr>
                <w:sz w:val="7"/>
                <w:szCs w:val="7"/>
                <w:color w:val="auto"/>
              </w:rPr>
            </w:pPr>
          </w:p>
        </w:tc>
        <w:tc>
          <w:tcPr>
            <w:tcW w:w="100" w:type="dxa"/>
            <w:vAlign w:val="bottom"/>
            <w:tcBorders>
              <w:right w:val="single" w:sz="8" w:color="D9D7DC"/>
            </w:tcBorders>
            <w:shd w:val="clear" w:color="auto" w:fill="D9D7DC"/>
          </w:tcPr>
          <w:p>
            <w:pPr>
              <w:spacing w:after="0"/>
              <w:rPr>
                <w:sz w:val="7"/>
                <w:szCs w:val="7"/>
                <w:color w:val="auto"/>
              </w:rPr>
            </w:pPr>
          </w:p>
        </w:tc>
        <w:tc>
          <w:tcPr>
            <w:tcW w:w="440" w:type="dxa"/>
            <w:vAlign w:val="bottom"/>
            <w:shd w:val="clear" w:color="auto" w:fill="D9D7DC"/>
          </w:tcPr>
          <w:p>
            <w:pPr>
              <w:spacing w:after="0"/>
              <w:rPr>
                <w:sz w:val="7"/>
                <w:szCs w:val="7"/>
                <w:color w:val="auto"/>
              </w:rPr>
            </w:pPr>
          </w:p>
        </w:tc>
        <w:tc>
          <w:tcPr>
            <w:tcW w:w="540" w:type="dxa"/>
            <w:vAlign w:val="bottom"/>
            <w:shd w:val="clear" w:color="auto" w:fill="D9D7DC"/>
          </w:tcPr>
          <w:p>
            <w:pPr>
              <w:spacing w:after="0"/>
              <w:rPr>
                <w:sz w:val="7"/>
                <w:szCs w:val="7"/>
                <w:color w:val="auto"/>
              </w:rPr>
            </w:pPr>
          </w:p>
        </w:tc>
        <w:tc>
          <w:tcPr>
            <w:tcW w:w="2000" w:type="dxa"/>
            <w:vAlign w:val="bottom"/>
            <w:tcBorders>
              <w:right w:val="single" w:sz="8" w:color="D9D7DC"/>
            </w:tcBorders>
            <w:gridSpan w:val="3"/>
            <w:vMerge w:val="continue"/>
            <w:shd w:val="clear" w:color="auto" w:fill="D9D7DC"/>
          </w:tcPr>
          <w:p>
            <w:pPr>
              <w:spacing w:after="0"/>
              <w:rPr>
                <w:sz w:val="7"/>
                <w:szCs w:val="7"/>
                <w:color w:val="auto"/>
              </w:rPr>
            </w:pPr>
          </w:p>
        </w:tc>
        <w:tc>
          <w:tcPr>
            <w:tcW w:w="100" w:type="dxa"/>
            <w:vAlign w:val="bottom"/>
            <w:tcBorders>
              <w:right w:val="single" w:sz="8" w:color="D9D7DC"/>
            </w:tcBorders>
            <w:shd w:val="clear" w:color="auto" w:fill="D9D7DC"/>
          </w:tcPr>
          <w:p>
            <w:pPr>
              <w:spacing w:after="0"/>
              <w:rPr>
                <w:sz w:val="7"/>
                <w:szCs w:val="7"/>
                <w:color w:val="auto"/>
              </w:rPr>
            </w:pPr>
          </w:p>
        </w:tc>
        <w:tc>
          <w:tcPr>
            <w:tcW w:w="1460" w:type="dxa"/>
            <w:vAlign w:val="bottom"/>
            <w:tcBorders>
              <w:right w:val="single" w:sz="8" w:color="auto"/>
            </w:tcBorders>
            <w:shd w:val="clear" w:color="auto" w:fill="D9D7DC"/>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shd w:val="clear" w:color="auto" w:fill="000F2B"/>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5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40" w:type="dxa"/>
            <w:vAlign w:val="bottom"/>
            <w:tcBorders>
              <w:bottom w:val="single" w:sz="8" w:color="auto"/>
              <w:right w:val="single" w:sz="8" w:color="D9D7DC"/>
            </w:tcBorders>
            <w:shd w:val="clear" w:color="auto" w:fill="D9D7DC"/>
          </w:tcPr>
          <w:p>
            <w:pPr>
              <w:spacing w:after="0"/>
              <w:rPr>
                <w:sz w:val="9"/>
                <w:szCs w:val="9"/>
                <w:color w:val="auto"/>
              </w:rPr>
            </w:pPr>
          </w:p>
        </w:tc>
        <w:tc>
          <w:tcPr>
            <w:tcW w:w="100" w:type="dxa"/>
            <w:vAlign w:val="bottom"/>
            <w:tcBorders>
              <w:bottom w:val="single" w:sz="8" w:color="auto"/>
              <w:right w:val="single" w:sz="8" w:color="D9D7DC"/>
            </w:tcBorders>
            <w:shd w:val="clear" w:color="auto" w:fill="D9D7DC"/>
          </w:tcPr>
          <w:p>
            <w:pPr>
              <w:spacing w:after="0"/>
              <w:rPr>
                <w:sz w:val="9"/>
                <w:szCs w:val="9"/>
                <w:color w:val="auto"/>
              </w:rPr>
            </w:pPr>
          </w:p>
        </w:tc>
        <w:tc>
          <w:tcPr>
            <w:tcW w:w="440" w:type="dxa"/>
            <w:vAlign w:val="bottom"/>
            <w:tcBorders>
              <w:bottom w:val="single" w:sz="8" w:color="auto"/>
            </w:tcBorders>
            <w:shd w:val="clear" w:color="auto" w:fill="D9D7DC"/>
          </w:tcPr>
          <w:p>
            <w:pPr>
              <w:spacing w:after="0"/>
              <w:rPr>
                <w:sz w:val="9"/>
                <w:szCs w:val="9"/>
                <w:color w:val="auto"/>
              </w:rPr>
            </w:pPr>
          </w:p>
        </w:tc>
        <w:tc>
          <w:tcPr>
            <w:tcW w:w="540" w:type="dxa"/>
            <w:vAlign w:val="bottom"/>
            <w:tcBorders>
              <w:bottom w:val="single" w:sz="8" w:color="auto"/>
            </w:tcBorders>
            <w:shd w:val="clear" w:color="auto" w:fill="D9D7DC"/>
          </w:tcPr>
          <w:p>
            <w:pPr>
              <w:spacing w:after="0"/>
              <w:rPr>
                <w:sz w:val="9"/>
                <w:szCs w:val="9"/>
                <w:color w:val="auto"/>
              </w:rPr>
            </w:pPr>
          </w:p>
        </w:tc>
        <w:tc>
          <w:tcPr>
            <w:tcW w:w="440" w:type="dxa"/>
            <w:vAlign w:val="bottom"/>
            <w:tcBorders>
              <w:bottom w:val="single" w:sz="8" w:color="auto"/>
              <w:right w:val="single" w:sz="8" w:color="D9D7DC"/>
            </w:tcBorders>
            <w:shd w:val="clear" w:color="auto" w:fill="D9D7DC"/>
          </w:tcPr>
          <w:p>
            <w:pPr>
              <w:spacing w:after="0"/>
              <w:rPr>
                <w:sz w:val="9"/>
                <w:szCs w:val="9"/>
                <w:color w:val="auto"/>
              </w:rPr>
            </w:pPr>
          </w:p>
        </w:tc>
        <w:tc>
          <w:tcPr>
            <w:tcW w:w="100" w:type="dxa"/>
            <w:vAlign w:val="bottom"/>
            <w:tcBorders>
              <w:bottom w:val="single" w:sz="8" w:color="auto"/>
              <w:right w:val="single" w:sz="8" w:color="D9D7DC"/>
            </w:tcBorders>
            <w:shd w:val="clear" w:color="auto" w:fill="D9D7DC"/>
          </w:tcPr>
          <w:p>
            <w:pPr>
              <w:spacing w:after="0"/>
              <w:rPr>
                <w:sz w:val="9"/>
                <w:szCs w:val="9"/>
                <w:color w:val="auto"/>
              </w:rPr>
            </w:pPr>
          </w:p>
        </w:tc>
        <w:tc>
          <w:tcPr>
            <w:tcW w:w="1460" w:type="dxa"/>
            <w:vAlign w:val="bottom"/>
            <w:tcBorders>
              <w:bottom w:val="single" w:sz="8" w:color="auto"/>
              <w:right w:val="single" w:sz="8" w:color="D9D7DC"/>
            </w:tcBorders>
            <w:shd w:val="clear" w:color="auto" w:fill="D9D7DC"/>
          </w:tcPr>
          <w:p>
            <w:pPr>
              <w:spacing w:after="0"/>
              <w:rPr>
                <w:sz w:val="9"/>
                <w:szCs w:val="9"/>
                <w:color w:val="auto"/>
              </w:rPr>
            </w:pPr>
          </w:p>
        </w:tc>
        <w:tc>
          <w:tcPr>
            <w:tcW w:w="100" w:type="dxa"/>
            <w:vAlign w:val="bottom"/>
            <w:tcBorders>
              <w:bottom w:val="single" w:sz="8" w:color="auto"/>
              <w:right w:val="single" w:sz="8" w:color="D9D7DC"/>
            </w:tcBorders>
            <w:shd w:val="clear" w:color="auto" w:fill="D9D7DC"/>
          </w:tcPr>
          <w:p>
            <w:pPr>
              <w:spacing w:after="0"/>
              <w:rPr>
                <w:sz w:val="9"/>
                <w:szCs w:val="9"/>
                <w:color w:val="auto"/>
              </w:rPr>
            </w:pPr>
          </w:p>
        </w:tc>
        <w:tc>
          <w:tcPr>
            <w:tcW w:w="1460" w:type="dxa"/>
            <w:vAlign w:val="bottom"/>
            <w:tcBorders>
              <w:bottom w:val="single" w:sz="8" w:color="auto"/>
              <w:right w:val="single" w:sz="8" w:color="auto"/>
            </w:tcBorders>
            <w:shd w:val="clear" w:color="auto" w:fill="D9D7DC"/>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60" w:type="dxa"/>
            <w:vAlign w:val="bottom"/>
            <w:tcBorders>
              <w:bottom w:val="single" w:sz="8" w:color="000F2B"/>
              <w:right w:val="single" w:sz="8" w:color="auto"/>
            </w:tcBorders>
            <w:vMerge w:val="restart"/>
            <w:shd w:val="clear" w:color="auto" w:fill="000F2B"/>
          </w:tcPr>
          <w:p>
            <w:pPr>
              <w:jc w:val="center"/>
              <w:spacing w:after="0"/>
              <w:rPr>
                <w:sz w:val="20"/>
                <w:szCs w:val="20"/>
                <w:color w:val="auto"/>
              </w:rPr>
            </w:pPr>
            <w:r>
              <w:rPr>
                <w:rFonts w:ascii="Arial" w:cs="Arial" w:eastAsia="Arial" w:hAnsi="Arial"/>
                <w:sz w:val="15"/>
                <w:szCs w:val="15"/>
                <w:color w:val="FFFFFF"/>
              </w:rPr>
              <w:t>Outstanding</w:t>
            </w: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60" w:type="dxa"/>
            <w:vAlign w:val="bottom"/>
            <w:tcBorders>
              <w:bottom w:val="single" w:sz="8" w:color="000F2B"/>
              <w:right w:val="single" w:sz="8" w:color="auto"/>
            </w:tcBorders>
            <w:vMerge w:val="continue"/>
            <w:shd w:val="clear" w:color="auto" w:fill="000F2B"/>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560" w:type="dxa"/>
            <w:vAlign w:val="bottom"/>
            <w:tcBorders>
              <w:left w:val="single" w:sz="8" w:color="auto"/>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shd w:val="clear" w:color="auto" w:fill="D9D7DC"/>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40" w:type="dxa"/>
            <w:vAlign w:val="bottom"/>
            <w:shd w:val="clear" w:color="auto" w:fill="216C2B"/>
          </w:tcPr>
          <w:p>
            <w:pPr>
              <w:spacing w:after="0"/>
              <w:rPr>
                <w:sz w:val="13"/>
                <w:szCs w:val="13"/>
                <w:color w:val="auto"/>
              </w:rPr>
            </w:pPr>
          </w:p>
        </w:tc>
        <w:tc>
          <w:tcPr>
            <w:tcW w:w="540" w:type="dxa"/>
            <w:vAlign w:val="bottom"/>
            <w:shd w:val="clear" w:color="auto" w:fill="216C2B"/>
          </w:tcPr>
          <w:p>
            <w:pPr>
              <w:spacing w:after="0"/>
              <w:rPr>
                <w:sz w:val="13"/>
                <w:szCs w:val="13"/>
                <w:color w:val="auto"/>
              </w:rPr>
            </w:pPr>
          </w:p>
        </w:tc>
        <w:tc>
          <w:tcPr>
            <w:tcW w:w="440" w:type="dxa"/>
            <w:vAlign w:val="bottom"/>
            <w:tcBorders>
              <w:right w:val="single" w:sz="8" w:color="auto"/>
            </w:tcBorders>
            <w:shd w:val="clear" w:color="auto" w:fill="216C2B"/>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shd w:val="clear" w:color="auto" w:fill="911A5B"/>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shd w:val="clear" w:color="auto" w:fill="5587A6"/>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vMerge w:val="continue"/>
            <w:shd w:val="clear" w:color="auto" w:fill="000F2B"/>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shd w:val="clear" w:color="auto" w:fill="D9D7DC"/>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40" w:type="dxa"/>
            <w:vAlign w:val="bottom"/>
            <w:shd w:val="clear" w:color="auto" w:fill="216C2B"/>
          </w:tcPr>
          <w:p>
            <w:pPr>
              <w:spacing w:after="0"/>
              <w:rPr>
                <w:sz w:val="16"/>
                <w:szCs w:val="16"/>
                <w:color w:val="auto"/>
              </w:rPr>
            </w:pPr>
          </w:p>
        </w:tc>
        <w:tc>
          <w:tcPr>
            <w:tcW w:w="540" w:type="dxa"/>
            <w:vAlign w:val="bottom"/>
            <w:shd w:val="clear" w:color="auto" w:fill="216C2B"/>
          </w:tcPr>
          <w:p>
            <w:pPr>
              <w:spacing w:after="0"/>
              <w:rPr>
                <w:sz w:val="16"/>
                <w:szCs w:val="16"/>
                <w:color w:val="auto"/>
              </w:rPr>
            </w:pPr>
          </w:p>
        </w:tc>
        <w:tc>
          <w:tcPr>
            <w:tcW w:w="440" w:type="dxa"/>
            <w:vAlign w:val="bottom"/>
            <w:tcBorders>
              <w:right w:val="single" w:sz="8" w:color="auto"/>
            </w:tcBorders>
            <w:shd w:val="clear" w:color="auto" w:fill="216C2B"/>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shd w:val="clear" w:color="auto" w:fill="911A5B"/>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rPr>
              <w:t>Lender Risk-</w:t>
            </w:r>
          </w:p>
        </w:tc>
        <w:tc>
          <w:tcPr>
            <w:tcW w:w="1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shd w:val="clear" w:color="auto" w:fill="000F2B"/>
          </w:tcPr>
          <w:p>
            <w:pPr>
              <w:jc w:val="center"/>
              <w:spacing w:after="0" w:line="193" w:lineRule="exact"/>
              <w:rPr>
                <w:sz w:val="20"/>
                <w:szCs w:val="20"/>
                <w:color w:val="auto"/>
              </w:rPr>
            </w:pPr>
            <w:r>
              <w:rPr>
                <w:rFonts w:ascii="Arial" w:cs="Arial" w:eastAsia="Arial" w:hAnsi="Arial"/>
                <w:sz w:val="15"/>
                <w:szCs w:val="15"/>
                <w:color w:val="FFFFFF"/>
              </w:rPr>
              <w:t>Reference Pool</w:t>
            </w:r>
            <w:r>
              <w:rPr>
                <w:rFonts w:ascii="Arial" w:cs="Arial" w:eastAsia="Arial" w:hAnsi="Arial"/>
                <w:sz w:val="20"/>
                <w:szCs w:val="20"/>
                <w:color w:val="FFFFFF"/>
                <w:vertAlign w:val="superscript"/>
              </w:rPr>
              <w:t>(5)</w:t>
            </w:r>
          </w:p>
        </w:tc>
        <w:tc>
          <w:tcPr>
            <w:tcW w:w="0" w:type="dxa"/>
            <w:vAlign w:val="bottom"/>
          </w:tcPr>
          <w:p>
            <w:pPr>
              <w:spacing w:after="0"/>
              <w:rPr>
                <w:sz w:val="1"/>
                <w:szCs w:val="1"/>
                <w:color w:val="auto"/>
              </w:rPr>
            </w:pPr>
          </w:p>
        </w:tc>
      </w:tr>
      <w:tr>
        <w:trPr>
          <w:trHeight w:val="207"/>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Mezzanine</w:t>
            </w:r>
          </w:p>
        </w:tc>
        <w:tc>
          <w:tcPr>
            <w:tcW w:w="10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shd w:val="clear" w:color="auto" w:fill="D9D7DC"/>
          </w:tcPr>
          <w:p>
            <w:pPr>
              <w:jc w:val="center"/>
              <w:spacing w:after="0" w:line="207" w:lineRule="exact"/>
              <w:rPr>
                <w:sz w:val="20"/>
                <w:szCs w:val="20"/>
                <w:color w:val="auto"/>
              </w:rPr>
            </w:pPr>
            <w:r>
              <w:rPr>
                <w:rFonts w:ascii="Arial" w:cs="Arial" w:eastAsia="Arial" w:hAnsi="Arial"/>
                <w:sz w:val="15"/>
                <w:szCs w:val="15"/>
                <w:color w:val="auto"/>
                <w:w w:val="98"/>
              </w:rPr>
              <w:t>Fannie Mae</w:t>
            </w:r>
            <w:r>
              <w:rPr>
                <w:rFonts w:ascii="Arial" w:cs="Arial" w:eastAsia="Arial" w:hAnsi="Arial"/>
                <w:sz w:val="20"/>
                <w:szCs w:val="20"/>
                <w:color w:val="auto"/>
                <w:w w:val="98"/>
                <w:vertAlign w:val="superscript"/>
              </w:rPr>
              <w:t>(1)</w:t>
            </w:r>
          </w:p>
        </w:tc>
        <w:tc>
          <w:tcPr>
            <w:tcW w:w="100" w:type="dxa"/>
            <w:vAlign w:val="bottom"/>
            <w:tcBorders>
              <w:right w:val="single" w:sz="8" w:color="auto"/>
            </w:tcBorders>
          </w:tcPr>
          <w:p>
            <w:pPr>
              <w:spacing w:after="0"/>
              <w:rPr>
                <w:sz w:val="17"/>
                <w:szCs w:val="17"/>
                <w:color w:val="auto"/>
              </w:rPr>
            </w:pPr>
          </w:p>
        </w:tc>
        <w:tc>
          <w:tcPr>
            <w:tcW w:w="440" w:type="dxa"/>
            <w:vAlign w:val="bottom"/>
            <w:shd w:val="clear" w:color="auto" w:fill="216C2B"/>
          </w:tcPr>
          <w:p>
            <w:pPr>
              <w:spacing w:after="0"/>
              <w:rPr>
                <w:sz w:val="17"/>
                <w:szCs w:val="17"/>
                <w:color w:val="auto"/>
              </w:rPr>
            </w:pPr>
          </w:p>
        </w:tc>
        <w:tc>
          <w:tcPr>
            <w:tcW w:w="540" w:type="dxa"/>
            <w:vAlign w:val="bottom"/>
            <w:shd w:val="clear" w:color="auto" w:fill="216C2B"/>
          </w:tcPr>
          <w:p>
            <w:pPr>
              <w:jc w:val="center"/>
              <w:spacing w:after="0" w:line="207" w:lineRule="exact"/>
              <w:rPr>
                <w:sz w:val="20"/>
                <w:szCs w:val="20"/>
                <w:color w:val="auto"/>
              </w:rPr>
            </w:pPr>
            <w:r>
              <w:rPr>
                <w:rFonts w:ascii="Arial" w:cs="Arial" w:eastAsia="Arial" w:hAnsi="Arial"/>
                <w:sz w:val="15"/>
                <w:szCs w:val="15"/>
                <w:color w:val="FFFFFF"/>
                <w:w w:val="93"/>
              </w:rPr>
              <w:t>CIRT</w:t>
            </w:r>
            <w:r>
              <w:rPr>
                <w:rFonts w:ascii="Arial" w:cs="Arial" w:eastAsia="Arial" w:hAnsi="Arial"/>
                <w:sz w:val="20"/>
                <w:szCs w:val="20"/>
                <w:color w:val="FFFFFF"/>
                <w:w w:val="93"/>
                <w:vertAlign w:val="superscript"/>
              </w:rPr>
              <w:t>(2)</w:t>
            </w:r>
          </w:p>
        </w:tc>
        <w:tc>
          <w:tcPr>
            <w:tcW w:w="440" w:type="dxa"/>
            <w:vAlign w:val="bottom"/>
            <w:tcBorders>
              <w:right w:val="single" w:sz="8" w:color="auto"/>
            </w:tcBorders>
            <w:shd w:val="clear" w:color="auto" w:fill="216C2B"/>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911A5B"/>
          </w:tcPr>
          <w:p>
            <w:pPr>
              <w:jc w:val="center"/>
              <w:spacing w:after="0" w:line="207" w:lineRule="exact"/>
              <w:rPr>
                <w:sz w:val="20"/>
                <w:szCs w:val="20"/>
                <w:color w:val="auto"/>
              </w:rPr>
            </w:pPr>
            <w:r>
              <w:rPr>
                <w:rFonts w:ascii="Arial" w:cs="Arial" w:eastAsia="Arial" w:hAnsi="Arial"/>
                <w:sz w:val="23"/>
                <w:szCs w:val="23"/>
                <w:color w:val="FFFFFF"/>
                <w:vertAlign w:val="subscript"/>
              </w:rPr>
              <w:t>CAS</w:t>
            </w:r>
            <w:r>
              <w:rPr>
                <w:rFonts w:ascii="Arial" w:cs="Arial" w:eastAsia="Arial" w:hAnsi="Arial"/>
                <w:sz w:val="9"/>
                <w:szCs w:val="9"/>
                <w:color w:val="FFFFFF"/>
              </w:rPr>
              <w:t>(2)(3)</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5587A6"/>
          </w:tcPr>
          <w:p>
            <w:pPr>
              <w:jc w:val="center"/>
              <w:spacing w:after="0" w:line="207" w:lineRule="exact"/>
              <w:rPr>
                <w:sz w:val="20"/>
                <w:szCs w:val="20"/>
                <w:color w:val="auto"/>
              </w:rPr>
            </w:pPr>
            <w:r>
              <w:rPr>
                <w:rFonts w:ascii="Arial" w:cs="Arial" w:eastAsia="Arial" w:hAnsi="Arial"/>
                <w:sz w:val="15"/>
                <w:szCs w:val="15"/>
                <w:color w:val="FFFFFF"/>
                <w:w w:val="92"/>
              </w:rPr>
              <w:t>Sharing</w:t>
            </w:r>
            <w:r>
              <w:rPr>
                <w:rFonts w:ascii="Arial" w:cs="Arial" w:eastAsia="Arial" w:hAnsi="Arial"/>
                <w:sz w:val="20"/>
                <w:szCs w:val="20"/>
                <w:color w:val="FFFFFF"/>
                <w:w w:val="92"/>
                <w:vertAlign w:val="superscript"/>
              </w:rPr>
              <w:t>(2)(4)</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000F2B"/>
          </w:tcPr>
          <w:p>
            <w:pPr>
              <w:jc w:val="center"/>
              <w:spacing w:after="0"/>
              <w:rPr>
                <w:sz w:val="20"/>
                <w:szCs w:val="20"/>
                <w:color w:val="auto"/>
              </w:rPr>
            </w:pPr>
            <w:r>
              <w:rPr>
                <w:rFonts w:ascii="Arial" w:cs="Arial" w:eastAsia="Arial" w:hAnsi="Arial"/>
                <w:sz w:val="15"/>
                <w:szCs w:val="15"/>
                <w:color w:val="FFFFFF"/>
              </w:rPr>
              <w:t>$1,361</w:t>
            </w:r>
          </w:p>
        </w:tc>
        <w:tc>
          <w:tcPr>
            <w:tcW w:w="0" w:type="dxa"/>
            <w:vAlign w:val="bottom"/>
          </w:tcPr>
          <w:p>
            <w:pPr>
              <w:spacing w:after="0"/>
              <w:rPr>
                <w:sz w:val="1"/>
                <w:szCs w:val="1"/>
                <w:color w:val="auto"/>
              </w:rPr>
            </w:pPr>
          </w:p>
        </w:tc>
      </w:tr>
      <w:tr>
        <w:trPr>
          <w:trHeight w:val="204"/>
        </w:trPr>
        <w:tc>
          <w:tcPr>
            <w:tcW w:w="1560" w:type="dxa"/>
            <w:vAlign w:val="bottom"/>
            <w:tcBorders>
              <w:left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shd w:val="clear" w:color="auto" w:fill="D9D7DC"/>
          </w:tcPr>
          <w:p>
            <w:pPr>
              <w:jc w:val="right"/>
              <w:ind w:right="563"/>
              <w:spacing w:after="0"/>
              <w:rPr>
                <w:sz w:val="20"/>
                <w:szCs w:val="20"/>
                <w:color w:val="auto"/>
              </w:rPr>
            </w:pPr>
            <w:r>
              <w:rPr>
                <w:rFonts w:ascii="Arial" w:cs="Arial" w:eastAsia="Arial" w:hAnsi="Arial"/>
                <w:sz w:val="15"/>
                <w:szCs w:val="15"/>
                <w:color w:val="auto"/>
              </w:rPr>
              <w:t>$5</w:t>
            </w:r>
          </w:p>
        </w:tc>
        <w:tc>
          <w:tcPr>
            <w:tcW w:w="100" w:type="dxa"/>
            <w:vAlign w:val="bottom"/>
            <w:tcBorders>
              <w:right w:val="single" w:sz="8" w:color="auto"/>
            </w:tcBorders>
          </w:tcPr>
          <w:p>
            <w:pPr>
              <w:spacing w:after="0"/>
              <w:rPr>
                <w:sz w:val="17"/>
                <w:szCs w:val="17"/>
                <w:color w:val="auto"/>
              </w:rPr>
            </w:pPr>
          </w:p>
        </w:tc>
        <w:tc>
          <w:tcPr>
            <w:tcW w:w="440" w:type="dxa"/>
            <w:vAlign w:val="bottom"/>
            <w:shd w:val="clear" w:color="auto" w:fill="216C2B"/>
          </w:tcPr>
          <w:p>
            <w:pPr>
              <w:spacing w:after="0"/>
              <w:rPr>
                <w:sz w:val="17"/>
                <w:szCs w:val="17"/>
                <w:color w:val="auto"/>
              </w:rPr>
            </w:pPr>
          </w:p>
        </w:tc>
        <w:tc>
          <w:tcPr>
            <w:tcW w:w="540" w:type="dxa"/>
            <w:vAlign w:val="bottom"/>
            <w:shd w:val="clear" w:color="auto" w:fill="216C2B"/>
          </w:tcPr>
          <w:p>
            <w:pPr>
              <w:jc w:val="right"/>
              <w:ind w:right="63"/>
              <w:spacing w:after="0"/>
              <w:rPr>
                <w:sz w:val="20"/>
                <w:szCs w:val="20"/>
                <w:color w:val="auto"/>
              </w:rPr>
            </w:pPr>
            <w:r>
              <w:rPr>
                <w:rFonts w:ascii="Arial" w:cs="Arial" w:eastAsia="Arial" w:hAnsi="Arial"/>
                <w:sz w:val="15"/>
                <w:szCs w:val="15"/>
                <w:color w:val="FFFFFF"/>
              </w:rPr>
              <w:t>$15</w:t>
            </w:r>
          </w:p>
        </w:tc>
        <w:tc>
          <w:tcPr>
            <w:tcW w:w="440" w:type="dxa"/>
            <w:vAlign w:val="bottom"/>
            <w:tcBorders>
              <w:right w:val="single" w:sz="8" w:color="auto"/>
            </w:tcBorders>
            <w:shd w:val="clear" w:color="auto" w:fill="216C2B"/>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911A5B"/>
          </w:tcPr>
          <w:p>
            <w:pPr>
              <w:jc w:val="center"/>
              <w:spacing w:after="0"/>
              <w:rPr>
                <w:sz w:val="20"/>
                <w:szCs w:val="20"/>
                <w:color w:val="auto"/>
              </w:rPr>
            </w:pPr>
            <w:r>
              <w:rPr>
                <w:rFonts w:ascii="Arial" w:cs="Arial" w:eastAsia="Arial" w:hAnsi="Arial"/>
                <w:sz w:val="15"/>
                <w:szCs w:val="15"/>
                <w:color w:val="FFFFFF"/>
              </w:rPr>
              <w:t>$13</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rPr>
              <w:t>$3</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000F2B"/>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560" w:type="dxa"/>
            <w:vAlign w:val="bottom"/>
            <w:tcBorders>
              <w:left w:val="single" w:sz="8" w:color="auto"/>
              <w:bottom w:val="single" w:sz="8" w:color="auto"/>
              <w:right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shd w:val="clear" w:color="auto" w:fill="D9D7DC"/>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440" w:type="dxa"/>
            <w:vAlign w:val="bottom"/>
            <w:tcBorders>
              <w:bottom w:val="single" w:sz="8" w:color="auto"/>
            </w:tcBorders>
            <w:shd w:val="clear" w:color="auto" w:fill="216C2B"/>
          </w:tcPr>
          <w:p>
            <w:pPr>
              <w:spacing w:after="0"/>
              <w:rPr>
                <w:sz w:val="21"/>
                <w:szCs w:val="21"/>
                <w:color w:val="auto"/>
              </w:rPr>
            </w:pPr>
          </w:p>
        </w:tc>
        <w:tc>
          <w:tcPr>
            <w:tcW w:w="540" w:type="dxa"/>
            <w:vAlign w:val="bottom"/>
            <w:tcBorders>
              <w:bottom w:val="single" w:sz="8" w:color="auto"/>
            </w:tcBorders>
            <w:shd w:val="clear" w:color="auto" w:fill="216C2B"/>
          </w:tcPr>
          <w:p>
            <w:pPr>
              <w:spacing w:after="0"/>
              <w:rPr>
                <w:sz w:val="21"/>
                <w:szCs w:val="21"/>
                <w:color w:val="auto"/>
              </w:rPr>
            </w:pPr>
          </w:p>
        </w:tc>
        <w:tc>
          <w:tcPr>
            <w:tcW w:w="440" w:type="dxa"/>
            <w:vAlign w:val="bottom"/>
            <w:tcBorders>
              <w:bottom w:val="single" w:sz="8" w:color="auto"/>
              <w:right w:val="single" w:sz="8" w:color="auto"/>
            </w:tcBorders>
            <w:shd w:val="clear" w:color="auto" w:fill="216C2B"/>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shd w:val="clear" w:color="auto" w:fill="911A5B"/>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shd w:val="clear" w:color="auto" w:fill="5587A6"/>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000F2B"/>
              <w:right w:val="single" w:sz="8" w:color="auto"/>
            </w:tcBorders>
            <w:shd w:val="clear" w:color="auto" w:fill="000F2B"/>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60" w:type="dxa"/>
            <w:vAlign w:val="bottom"/>
            <w:tcBorders>
              <w:bottom w:val="single" w:sz="8" w:color="000F2B"/>
              <w:right w:val="single" w:sz="8" w:color="auto"/>
            </w:tcBorders>
            <w:shd w:val="clear" w:color="auto" w:fill="000F2B"/>
          </w:tcPr>
          <w:p>
            <w:pPr>
              <w:spacing w:after="0"/>
              <w:rPr>
                <w:sz w:val="10"/>
                <w:szCs w:val="10"/>
                <w:color w:val="auto"/>
              </w:rPr>
            </w:pPr>
          </w:p>
        </w:tc>
        <w:tc>
          <w:tcPr>
            <w:tcW w:w="0" w:type="dxa"/>
            <w:vAlign w:val="bottom"/>
          </w:tcPr>
          <w:p>
            <w:pPr>
              <w:spacing w:after="0"/>
              <w:rPr>
                <w:sz w:val="1"/>
                <w:szCs w:val="1"/>
                <w:color w:val="auto"/>
              </w:rPr>
            </w:pPr>
          </w:p>
        </w:tc>
      </w:tr>
      <w:tr>
        <w:trPr>
          <w:trHeight w:val="375"/>
        </w:trPr>
        <w:tc>
          <w:tcPr>
            <w:tcW w:w="1560" w:type="dxa"/>
            <w:vAlign w:val="bottom"/>
            <w:tcBorders>
              <w:left w:val="single" w:sz="8" w:color="auto"/>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980" w:type="dxa"/>
            <w:vAlign w:val="bottom"/>
            <w:gridSpan w:val="3"/>
            <w:vMerge w:val="restart"/>
            <w:shd w:val="clear" w:color="auto" w:fill="D9D7DC"/>
          </w:tcPr>
          <w:p>
            <w:pPr>
              <w:jc w:val="center"/>
              <w:ind w:left="883"/>
              <w:spacing w:after="0"/>
              <w:rPr>
                <w:sz w:val="20"/>
                <w:szCs w:val="20"/>
                <w:color w:val="auto"/>
              </w:rPr>
            </w:pPr>
            <w:r>
              <w:rPr>
                <w:rFonts w:ascii="Arial" w:cs="Arial" w:eastAsia="Arial" w:hAnsi="Arial"/>
                <w:sz w:val="15"/>
                <w:szCs w:val="15"/>
                <w:color w:val="auto"/>
                <w:w w:val="98"/>
              </w:rPr>
              <w:t>Fannie Mae</w:t>
            </w:r>
            <w:r>
              <w:rPr>
                <w:rFonts w:ascii="Arial" w:cs="Arial" w:eastAsia="Arial" w:hAnsi="Arial"/>
                <w:sz w:val="20"/>
                <w:szCs w:val="20"/>
                <w:color w:val="auto"/>
                <w:w w:val="98"/>
                <w:vertAlign w:val="superscript"/>
              </w:rPr>
              <w:t>(1)</w:t>
            </w:r>
          </w:p>
        </w:tc>
        <w:tc>
          <w:tcPr>
            <w:tcW w:w="540" w:type="dxa"/>
            <w:vAlign w:val="bottom"/>
            <w:shd w:val="clear" w:color="auto" w:fill="D9D7DC"/>
          </w:tcPr>
          <w:p>
            <w:pPr>
              <w:spacing w:after="0"/>
              <w:rPr>
                <w:sz w:val="24"/>
                <w:szCs w:val="24"/>
                <w:color w:val="auto"/>
              </w:rPr>
            </w:pPr>
          </w:p>
        </w:tc>
        <w:tc>
          <w:tcPr>
            <w:tcW w:w="440" w:type="dxa"/>
            <w:vAlign w:val="bottom"/>
            <w:tcBorders>
              <w:right w:val="single" w:sz="8" w:color="auto"/>
            </w:tcBorders>
            <w:shd w:val="clear" w:color="auto" w:fill="D9D7DC"/>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vMerge w:val="restart"/>
            <w:shd w:val="clear" w:color="auto" w:fill="911A5B"/>
          </w:tcPr>
          <w:p>
            <w:pPr>
              <w:jc w:val="center"/>
              <w:spacing w:after="0"/>
              <w:rPr>
                <w:sz w:val="20"/>
                <w:szCs w:val="20"/>
                <w:color w:val="auto"/>
              </w:rPr>
            </w:pPr>
            <w:r>
              <w:rPr>
                <w:rFonts w:ascii="Arial" w:cs="Arial" w:eastAsia="Arial" w:hAnsi="Arial"/>
                <w:sz w:val="30"/>
                <w:szCs w:val="30"/>
                <w:color w:val="FFFFFF"/>
                <w:w w:val="85"/>
                <w:vertAlign w:val="subscript"/>
              </w:rPr>
              <w:t>CAS</w:t>
            </w:r>
            <w:r>
              <w:rPr>
                <w:rFonts w:ascii="Arial" w:cs="Arial" w:eastAsia="Arial" w:hAnsi="Arial"/>
                <w:sz w:val="10"/>
                <w:szCs w:val="10"/>
                <w:color w:val="FFFFFF"/>
                <w:w w:val="85"/>
              </w:rPr>
              <w:t>(2)(6)</w:t>
            </w:r>
          </w:p>
        </w:tc>
        <w:tc>
          <w:tcPr>
            <w:tcW w:w="1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rPr>
              <w:t>Lender Risk-</w:t>
            </w:r>
          </w:p>
        </w:tc>
        <w:tc>
          <w:tcPr>
            <w:tcW w:w="1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shd w:val="clear" w:color="auto" w:fill="000F2B"/>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First Loss</w:t>
            </w:r>
          </w:p>
        </w:tc>
        <w:tc>
          <w:tcPr>
            <w:tcW w:w="100" w:type="dxa"/>
            <w:vAlign w:val="bottom"/>
            <w:tcBorders>
              <w:right w:val="single" w:sz="8" w:color="auto"/>
            </w:tcBorders>
          </w:tcPr>
          <w:p>
            <w:pPr>
              <w:spacing w:after="0"/>
              <w:rPr>
                <w:sz w:val="15"/>
                <w:szCs w:val="15"/>
                <w:color w:val="auto"/>
              </w:rPr>
            </w:pPr>
          </w:p>
        </w:tc>
        <w:tc>
          <w:tcPr>
            <w:tcW w:w="1980" w:type="dxa"/>
            <w:vAlign w:val="bottom"/>
            <w:gridSpan w:val="3"/>
            <w:vMerge w:val="continue"/>
            <w:shd w:val="clear" w:color="auto" w:fill="D9D7DC"/>
          </w:tcPr>
          <w:p>
            <w:pPr>
              <w:spacing w:after="0"/>
              <w:rPr>
                <w:sz w:val="15"/>
                <w:szCs w:val="15"/>
                <w:color w:val="auto"/>
              </w:rPr>
            </w:pPr>
          </w:p>
        </w:tc>
        <w:tc>
          <w:tcPr>
            <w:tcW w:w="540" w:type="dxa"/>
            <w:vAlign w:val="bottom"/>
            <w:shd w:val="clear" w:color="auto" w:fill="D9D7DC"/>
          </w:tcPr>
          <w:p>
            <w:pPr>
              <w:spacing w:after="0"/>
              <w:rPr>
                <w:sz w:val="15"/>
                <w:szCs w:val="15"/>
                <w:color w:val="auto"/>
              </w:rPr>
            </w:pPr>
          </w:p>
        </w:tc>
        <w:tc>
          <w:tcPr>
            <w:tcW w:w="440" w:type="dxa"/>
            <w:vAlign w:val="bottom"/>
            <w:tcBorders>
              <w:right w:val="single" w:sz="8" w:color="auto"/>
            </w:tcBorders>
            <w:shd w:val="clear" w:color="auto" w:fill="D9D7DC"/>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vMerge w:val="continue"/>
            <w:shd w:val="clear" w:color="auto" w:fill="911A5B"/>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shd w:val="clear" w:color="auto" w:fill="5587A6"/>
          </w:tcPr>
          <w:p>
            <w:pPr>
              <w:jc w:val="center"/>
              <w:spacing w:after="0" w:line="181" w:lineRule="exact"/>
              <w:rPr>
                <w:sz w:val="20"/>
                <w:szCs w:val="20"/>
                <w:color w:val="auto"/>
              </w:rPr>
            </w:pPr>
            <w:r>
              <w:rPr>
                <w:rFonts w:ascii="Arial" w:cs="Arial" w:eastAsia="Arial" w:hAnsi="Arial"/>
                <w:sz w:val="15"/>
                <w:szCs w:val="15"/>
                <w:color w:val="FFFFFF"/>
                <w:w w:val="92"/>
              </w:rPr>
              <w:t>Sharing</w:t>
            </w:r>
            <w:r>
              <w:rPr>
                <w:rFonts w:ascii="Arial" w:cs="Arial" w:eastAsia="Arial" w:hAnsi="Arial"/>
                <w:sz w:val="20"/>
                <w:szCs w:val="20"/>
                <w:color w:val="FFFFFF"/>
                <w:w w:val="92"/>
                <w:vertAlign w:val="superscript"/>
              </w:rPr>
              <w:t>(2)(4)</w:t>
            </w:r>
          </w:p>
        </w:tc>
        <w:tc>
          <w:tcPr>
            <w:tcW w:w="1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shd w:val="clear" w:color="auto" w:fill="000F2B"/>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560" w:type="dxa"/>
            <w:vAlign w:val="bottom"/>
            <w:tcBorders>
              <w:left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80" w:type="dxa"/>
            <w:vAlign w:val="bottom"/>
            <w:gridSpan w:val="3"/>
            <w:shd w:val="clear" w:color="auto" w:fill="D9D7DC"/>
          </w:tcPr>
          <w:p>
            <w:pPr>
              <w:jc w:val="right"/>
              <w:ind w:right="380"/>
              <w:spacing w:after="0"/>
              <w:rPr>
                <w:sz w:val="20"/>
                <w:szCs w:val="20"/>
                <w:color w:val="auto"/>
              </w:rPr>
            </w:pPr>
            <w:r>
              <w:rPr>
                <w:rFonts w:ascii="Arial" w:cs="Arial" w:eastAsia="Arial" w:hAnsi="Arial"/>
                <w:sz w:val="15"/>
                <w:szCs w:val="15"/>
                <w:color w:val="auto"/>
              </w:rPr>
              <w:t>$19</w:t>
            </w:r>
          </w:p>
        </w:tc>
        <w:tc>
          <w:tcPr>
            <w:tcW w:w="540" w:type="dxa"/>
            <w:vAlign w:val="bottom"/>
            <w:shd w:val="clear" w:color="auto" w:fill="D9D7DC"/>
          </w:tcPr>
          <w:p>
            <w:pPr>
              <w:spacing w:after="0"/>
              <w:rPr>
                <w:sz w:val="17"/>
                <w:szCs w:val="17"/>
                <w:color w:val="auto"/>
              </w:rPr>
            </w:pPr>
          </w:p>
        </w:tc>
        <w:tc>
          <w:tcPr>
            <w:tcW w:w="440" w:type="dxa"/>
            <w:vAlign w:val="bottom"/>
            <w:tcBorders>
              <w:right w:val="single" w:sz="8" w:color="auto"/>
            </w:tcBorders>
            <w:shd w:val="clear" w:color="auto" w:fill="D9D7DC"/>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911A5B"/>
          </w:tcPr>
          <w:p>
            <w:pPr>
              <w:jc w:val="center"/>
              <w:spacing w:after="0"/>
              <w:rPr>
                <w:sz w:val="20"/>
                <w:szCs w:val="20"/>
                <w:color w:val="auto"/>
              </w:rPr>
            </w:pPr>
            <w:r>
              <w:rPr>
                <w:rFonts w:ascii="Arial" w:cs="Arial" w:eastAsia="Arial" w:hAnsi="Arial"/>
                <w:sz w:val="15"/>
                <w:szCs w:val="15"/>
                <w:color w:val="FFFFFF"/>
              </w:rPr>
              <w:t>$10</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rPr>
              <w:t>$2</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000F2B"/>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560" w:type="dxa"/>
            <w:vAlign w:val="bottom"/>
            <w:tcBorders>
              <w:left w:val="single" w:sz="8" w:color="auto"/>
              <w:bottom w:val="single" w:sz="8" w:color="auto"/>
              <w:right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40" w:type="dxa"/>
            <w:vAlign w:val="bottom"/>
            <w:tcBorders>
              <w:bottom w:val="single" w:sz="8" w:color="auto"/>
              <w:right w:val="single" w:sz="8" w:color="D9D7DC"/>
            </w:tcBorders>
            <w:shd w:val="clear" w:color="auto" w:fill="D9D7DC"/>
          </w:tcPr>
          <w:p>
            <w:pPr>
              <w:spacing w:after="0"/>
              <w:rPr>
                <w:sz w:val="21"/>
                <w:szCs w:val="21"/>
                <w:color w:val="auto"/>
              </w:rPr>
            </w:pPr>
          </w:p>
        </w:tc>
        <w:tc>
          <w:tcPr>
            <w:tcW w:w="100" w:type="dxa"/>
            <w:vAlign w:val="bottom"/>
            <w:tcBorders>
              <w:bottom w:val="single" w:sz="8" w:color="auto"/>
              <w:right w:val="single" w:sz="8" w:color="D9D7DC"/>
            </w:tcBorders>
            <w:shd w:val="clear" w:color="auto" w:fill="D9D7DC"/>
          </w:tcPr>
          <w:p>
            <w:pPr>
              <w:spacing w:after="0"/>
              <w:rPr>
                <w:sz w:val="21"/>
                <w:szCs w:val="21"/>
                <w:color w:val="auto"/>
              </w:rPr>
            </w:pPr>
          </w:p>
        </w:tc>
        <w:tc>
          <w:tcPr>
            <w:tcW w:w="440" w:type="dxa"/>
            <w:vAlign w:val="bottom"/>
            <w:tcBorders>
              <w:bottom w:val="single" w:sz="8" w:color="auto"/>
            </w:tcBorders>
            <w:shd w:val="clear" w:color="auto" w:fill="D9D7DC"/>
          </w:tcPr>
          <w:p>
            <w:pPr>
              <w:spacing w:after="0"/>
              <w:rPr>
                <w:sz w:val="21"/>
                <w:szCs w:val="21"/>
                <w:color w:val="auto"/>
              </w:rPr>
            </w:pPr>
          </w:p>
        </w:tc>
        <w:tc>
          <w:tcPr>
            <w:tcW w:w="540" w:type="dxa"/>
            <w:vAlign w:val="bottom"/>
            <w:tcBorders>
              <w:bottom w:val="single" w:sz="8" w:color="auto"/>
            </w:tcBorders>
            <w:shd w:val="clear" w:color="auto" w:fill="D9D7DC"/>
          </w:tcPr>
          <w:p>
            <w:pPr>
              <w:spacing w:after="0"/>
              <w:rPr>
                <w:sz w:val="21"/>
                <w:szCs w:val="21"/>
                <w:color w:val="auto"/>
              </w:rPr>
            </w:pPr>
          </w:p>
        </w:tc>
        <w:tc>
          <w:tcPr>
            <w:tcW w:w="440" w:type="dxa"/>
            <w:vAlign w:val="bottom"/>
            <w:tcBorders>
              <w:bottom w:val="single" w:sz="8" w:color="auto"/>
              <w:right w:val="single" w:sz="8" w:color="auto"/>
            </w:tcBorders>
            <w:shd w:val="clear" w:color="auto" w:fill="D9D7DC"/>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shd w:val="clear" w:color="auto" w:fill="911A5B"/>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shd w:val="clear" w:color="auto" w:fill="5587A6"/>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shd w:val="clear" w:color="auto" w:fill="000F2B"/>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-1865630</wp:posOffset>
            </wp:positionV>
            <wp:extent cx="851535" cy="17684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1535" cy="1768475"/>
                    </a:xfrm>
                    <a:prstGeom prst="rect">
                      <a:avLst/>
                    </a:prstGeom>
                    <a:noFill/>
                  </pic:spPr>
                </pic:pic>
              </a:graphicData>
            </a:graphic>
          </wp:anchor>
        </w:drawing>
      </w:r>
    </w:p>
    <w:p>
      <w:pPr>
        <w:spacing w:after="0" w:line="89" w:lineRule="exact"/>
        <w:rPr>
          <w:sz w:val="20"/>
          <w:szCs w:val="20"/>
          <w:color w:val="auto"/>
        </w:rPr>
      </w:pPr>
    </w:p>
    <w:p>
      <w:pPr>
        <w:ind w:left="240" w:right="120" w:hanging="237"/>
        <w:spacing w:after="0" w:line="277" w:lineRule="auto"/>
        <w:tabs>
          <w:tab w:leader="none" w:pos="233" w:val="left"/>
        </w:tabs>
        <w:numPr>
          <w:ilvl w:val="0"/>
          <w:numId w:val="30"/>
        </w:numPr>
        <w:rPr>
          <w:rFonts w:ascii="Arial" w:cs="Arial" w:eastAsia="Arial" w:hAnsi="Arial"/>
          <w:sz w:val="9"/>
          <w:szCs w:val="9"/>
          <w:color w:val="auto"/>
        </w:rPr>
      </w:pPr>
      <w:r>
        <w:rPr>
          <w:rFonts w:ascii="Arial" w:cs="Arial" w:eastAsia="Arial" w:hAnsi="Arial"/>
          <w:sz w:val="13"/>
          <w:szCs w:val="13"/>
          <w:color w:val="auto"/>
        </w:rPr>
        <w:t>Credit risk retained by Fannie Mae in CAS, CIRT and lender risk-sharing transactions. Also includes credit risk retained in CAS Credit Linked-Note transactions, which are similar to CAS REMICs except they allow us to obtain credit protection on reference pools containing seasoned loans such as Refi Plus</w:t>
      </w:r>
      <w:r>
        <w:rPr>
          <w:rFonts w:ascii="Arial" w:cs="Arial" w:eastAsia="Arial" w:hAnsi="Arial"/>
          <w:sz w:val="16"/>
          <w:szCs w:val="16"/>
          <w:color w:val="auto"/>
          <w:vertAlign w:val="superscript"/>
        </w:rPr>
        <w:t>TM</w:t>
      </w:r>
      <w:r>
        <w:rPr>
          <w:rFonts w:ascii="Arial" w:cs="Arial" w:eastAsia="Arial" w:hAnsi="Arial"/>
          <w:sz w:val="13"/>
          <w:szCs w:val="13"/>
          <w:color w:val="auto"/>
        </w:rPr>
        <w:t xml:space="preserve"> loans. Tranche sizes vary across programs.</w:t>
      </w:r>
    </w:p>
    <w:p>
      <w:pPr>
        <w:ind w:left="220" w:hanging="217"/>
        <w:spacing w:after="0" w:line="195" w:lineRule="auto"/>
        <w:tabs>
          <w:tab w:leader="none" w:pos="2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Credit risk transferred to third parties. Tranche sizes vary across programs.</w:t>
      </w:r>
    </w:p>
    <w:p>
      <w:pPr>
        <w:spacing w:after="0" w:line="38" w:lineRule="exact"/>
        <w:rPr>
          <w:rFonts w:ascii="Arial" w:cs="Arial" w:eastAsia="Arial" w:hAnsi="Arial"/>
          <w:sz w:val="18"/>
          <w:szCs w:val="18"/>
          <w:color w:val="auto"/>
          <w:vertAlign w:val="superscript"/>
        </w:rPr>
      </w:pPr>
    </w:p>
    <w:p>
      <w:pPr>
        <w:ind w:left="240" w:right="100" w:hanging="237"/>
        <w:spacing w:after="0" w:line="222" w:lineRule="auto"/>
        <w:tabs>
          <w:tab w:leader="none" w:pos="233"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For CAS transactions, “senior” includes the A-H tranche balances, which we retain, while “mezzanine” includes the A-1, M-1 and M-2 tranche balances, portions of which we sell. In May 2024, we created and began selling a portion of the A-1 tranches, which are senior to the M-1, M-2 and B tranches and subordinate to the A-H tranches for the allocation of losses.</w:t>
      </w:r>
    </w:p>
    <w:p>
      <w:pPr>
        <w:spacing w:after="0" w:line="12"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Represents customized lender-risk sharing transactions. In most transactions, lenders invest directly in a portion of the credit risk on mortgage loans they originate and/or service</w:t>
      </w:r>
      <w:r>
        <w:rPr>
          <w:rFonts w:ascii="Arial" w:cs="Arial" w:eastAsia="Arial" w:hAnsi="Arial"/>
          <w:sz w:val="16"/>
          <w:szCs w:val="16"/>
          <w:color w:val="auto"/>
        </w:rPr>
        <w:t>.</w:t>
      </w:r>
    </w:p>
    <w:p>
      <w:pPr>
        <w:spacing w:after="0" w:line="51" w:lineRule="exact"/>
        <w:rPr>
          <w:rFonts w:ascii="Arial" w:cs="Arial" w:eastAsia="Arial" w:hAnsi="Arial"/>
          <w:sz w:val="18"/>
          <w:szCs w:val="18"/>
          <w:color w:val="auto"/>
          <w:vertAlign w:val="superscript"/>
        </w:rPr>
      </w:pPr>
    </w:p>
    <w:p>
      <w:pPr>
        <w:ind w:left="240" w:right="60" w:hanging="237"/>
        <w:spacing w:after="0" w:line="255" w:lineRule="auto"/>
        <w:tabs>
          <w:tab w:leader="none" w:pos="233" w:val="left"/>
        </w:tabs>
        <w:numPr>
          <w:ilvl w:val="0"/>
          <w:numId w:val="30"/>
        </w:numPr>
        <w:rPr>
          <w:rFonts w:ascii="Arial" w:cs="Arial" w:eastAsia="Arial" w:hAnsi="Arial"/>
          <w:sz w:val="9"/>
          <w:szCs w:val="9"/>
          <w:color w:val="auto"/>
        </w:rPr>
      </w:pPr>
      <w:r>
        <w:rPr>
          <w:rFonts w:ascii="Arial" w:cs="Arial" w:eastAsia="Arial" w:hAnsi="Arial"/>
          <w:sz w:val="14"/>
          <w:szCs w:val="14"/>
          <w:color w:val="auto"/>
        </w:rPr>
        <w:t>For CIRT and some lender risk-sharing transactions, “Reference Pool” reflects a pool of covered loans. For CAS and some lender risk-sharing transactions, represents outstanding reference pools, not the outstanding unpaid principal balance of the underlying loans. The outstanding unpaid principal balance for all loans covered by credit risk transfer programs, including all loans on which risk has been transferred in lender risk-sharing transactions, was $1,349 billion as of June 30, 2024.</w:t>
      </w:r>
    </w:p>
    <w:p>
      <w:pPr>
        <w:spacing w:after="0" w:line="16" w:lineRule="exact"/>
        <w:rPr>
          <w:rFonts w:ascii="Arial" w:cs="Arial" w:eastAsia="Arial" w:hAnsi="Arial"/>
          <w:sz w:val="9"/>
          <w:szCs w:val="9"/>
          <w:color w:val="auto"/>
        </w:rPr>
      </w:pPr>
    </w:p>
    <w:p>
      <w:pPr>
        <w:ind w:left="240" w:right="580" w:hanging="237"/>
        <w:spacing w:after="0" w:line="226" w:lineRule="auto"/>
        <w:tabs>
          <w:tab w:leader="none" w:pos="233"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For CAS transactions, “First Loss” represents all B tranche balances. In recent deals we have retained certain subordinated class B tranche(s) that absorb losses before the remaining class B tranches.</w:t>
      </w:r>
    </w:p>
    <w:p>
      <w:pPr>
        <w:spacing w:after="0" w:line="39" w:lineRule="exact"/>
        <w:rPr>
          <w:sz w:val="20"/>
          <w:szCs w:val="20"/>
          <w:color w:val="auto"/>
        </w:rPr>
      </w:pPr>
    </w:p>
    <w:p>
      <w:pPr>
        <w:ind w:right="720"/>
        <w:spacing w:after="0" w:line="310" w:lineRule="auto"/>
        <w:rPr>
          <w:sz w:val="20"/>
          <w:szCs w:val="20"/>
          <w:color w:val="auto"/>
        </w:rPr>
      </w:pPr>
      <w:r>
        <w:rPr>
          <w:rFonts w:ascii="Arial" w:cs="Arial" w:eastAsia="Arial" w:hAnsi="Arial"/>
          <w:sz w:val="16"/>
          <w:szCs w:val="16"/>
          <w:color w:val="auto"/>
        </w:rPr>
        <w:t>The risk in force of these transactions, which refers to the maximum amount of losses that could be absorbed by credit risk transfer investors, was approximately $43 billion as of June 30, 2024, compared with approximately $42 billion as of December 31, 2023.</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table below displays information about the credit enhancement recovery receivables we have recognized within “Other assets” in our condensed consolidated balance sheets. The decrease in our single-family freestanding credit enhancement receivables as of June 30, 2024 compared with December 31, 2023, was primarily the result of a decrease in our estimate of credit losses in the first half of 2024. As our estimate of credit losses decreases, so does the benefit we expect to receive from our freestanding credit enhancements.</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Single-Family Credit Enhancement Receivables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980" w:type="dxa"/>
            <w:vAlign w:val="bottom"/>
            <w:tcBorders>
              <w:top w:val="single" w:sz="8" w:color="2C6937"/>
            </w:tcBorders>
          </w:tcPr>
          <w:p>
            <w:pPr>
              <w:spacing w:after="0"/>
              <w:rPr>
                <w:sz w:val="18"/>
                <w:szCs w:val="18"/>
                <w:color w:val="auto"/>
              </w:rPr>
            </w:pPr>
          </w:p>
        </w:tc>
        <w:tc>
          <w:tcPr>
            <w:tcW w:w="1480" w:type="dxa"/>
            <w:vAlign w:val="bottom"/>
            <w:tcBorders>
              <w:top w:val="single" w:sz="8" w:color="2C6937"/>
              <w:bottom w:val="single" w:sz="8" w:color="2C6937"/>
            </w:tcBorders>
          </w:tcPr>
          <w:p>
            <w:pPr>
              <w:spacing w:after="0"/>
              <w:rPr>
                <w:sz w:val="18"/>
                <w:szCs w:val="18"/>
                <w:color w:val="auto"/>
              </w:rPr>
            </w:pPr>
          </w:p>
        </w:tc>
        <w:tc>
          <w:tcPr>
            <w:tcW w:w="2380" w:type="dxa"/>
            <w:vAlign w:val="bottom"/>
            <w:tcBorders>
              <w:top w:val="single" w:sz="8" w:color="2C6937"/>
              <w:bottom w:val="single" w:sz="8" w:color="2C6937"/>
            </w:tcBorders>
            <w:gridSpan w:val="2"/>
          </w:tcPr>
          <w:p>
            <w:pPr>
              <w:jc w:val="center"/>
              <w:ind w:right="1047"/>
              <w:spacing w:after="0"/>
              <w:rPr>
                <w:sz w:val="20"/>
                <w:szCs w:val="20"/>
                <w:color w:val="auto"/>
              </w:rPr>
            </w:pPr>
            <w:r>
              <w:rPr>
                <w:rFonts w:ascii="Arial" w:cs="Arial" w:eastAsia="Arial" w:hAnsi="Arial"/>
                <w:sz w:val="14"/>
                <w:szCs w:val="14"/>
                <w:b w:val="1"/>
                <w:bCs w:val="1"/>
                <w:color w:val="auto"/>
                <w:w w:val="97"/>
              </w:rPr>
              <w:t>As of</w:t>
            </w:r>
          </w:p>
        </w:tc>
        <w:tc>
          <w:tcPr>
            <w:tcW w:w="380" w:type="dxa"/>
            <w:vAlign w:val="bottom"/>
            <w:tcBorders>
              <w:top w:val="single" w:sz="8" w:color="2C6937"/>
              <w:bottom w:val="single" w:sz="8" w:color="2C6937"/>
            </w:tcBorders>
          </w:tcPr>
          <w:p>
            <w:pPr>
              <w:spacing w:after="0"/>
              <w:rPr>
                <w:sz w:val="18"/>
                <w:szCs w:val="18"/>
                <w:color w:val="auto"/>
              </w:rPr>
            </w:pPr>
          </w:p>
        </w:tc>
      </w:tr>
      <w:tr>
        <w:trPr>
          <w:trHeight w:val="186"/>
        </w:trPr>
        <w:tc>
          <w:tcPr>
            <w:tcW w:w="6980" w:type="dxa"/>
            <w:vAlign w:val="bottom"/>
          </w:tcPr>
          <w:p>
            <w:pPr>
              <w:spacing w:after="0"/>
              <w:rPr>
                <w:sz w:val="16"/>
                <w:szCs w:val="16"/>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June 30, 2024</w:t>
            </w:r>
          </w:p>
        </w:tc>
        <w:tc>
          <w:tcPr>
            <w:tcW w:w="620" w:type="dxa"/>
            <w:vAlign w:val="bottom"/>
            <w:tcBorders>
              <w:bottom w:val="single" w:sz="8" w:color="2C6937"/>
            </w:tcBorders>
          </w:tcPr>
          <w:p>
            <w:pPr>
              <w:spacing w:after="0"/>
              <w:rPr>
                <w:sz w:val="16"/>
                <w:szCs w:val="16"/>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December 31, 2023</w:t>
            </w:r>
          </w:p>
        </w:tc>
        <w:tc>
          <w:tcPr>
            <w:tcW w:w="380" w:type="dxa"/>
            <w:vAlign w:val="bottom"/>
            <w:tcBorders>
              <w:bottom w:val="single" w:sz="8" w:color="2C6937"/>
            </w:tcBorders>
          </w:tcPr>
          <w:p>
            <w:pPr>
              <w:spacing w:after="0"/>
              <w:rPr>
                <w:sz w:val="16"/>
                <w:szCs w:val="16"/>
                <w:color w:val="auto"/>
              </w:rPr>
            </w:pPr>
          </w:p>
        </w:tc>
      </w:tr>
      <w:tr>
        <w:trPr>
          <w:trHeight w:val="185"/>
        </w:trPr>
        <w:tc>
          <w:tcPr>
            <w:tcW w:w="6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380" w:type="dxa"/>
            <w:vAlign w:val="bottom"/>
            <w:gridSpan w:val="2"/>
          </w:tcPr>
          <w:p>
            <w:pPr>
              <w:jc w:val="center"/>
              <w:ind w:right="1027"/>
              <w:spacing w:after="0"/>
              <w:rPr>
                <w:sz w:val="20"/>
                <w:szCs w:val="20"/>
                <w:color w:val="auto"/>
              </w:rPr>
            </w:pPr>
            <w:r>
              <w:rPr>
                <w:rFonts w:ascii="Arial" w:cs="Arial" w:eastAsia="Arial" w:hAnsi="Arial"/>
                <w:sz w:val="14"/>
                <w:szCs w:val="14"/>
                <w:b w:val="1"/>
                <w:bCs w:val="1"/>
                <w:color w:val="auto"/>
                <w:w w:val="98"/>
              </w:rPr>
              <w:t>(Dollars in millions)</w:t>
            </w:r>
          </w:p>
        </w:tc>
        <w:tc>
          <w:tcPr>
            <w:tcW w:w="380" w:type="dxa"/>
            <w:vAlign w:val="bottom"/>
          </w:tcPr>
          <w:p>
            <w:pPr>
              <w:spacing w:after="0"/>
              <w:rPr>
                <w:sz w:val="16"/>
                <w:szCs w:val="16"/>
                <w:color w:val="auto"/>
              </w:rPr>
            </w:pPr>
          </w:p>
        </w:tc>
      </w:tr>
      <w:tr>
        <w:trPr>
          <w:trHeight w:val="236"/>
        </w:trPr>
        <w:tc>
          <w:tcPr>
            <w:tcW w:w="6980" w:type="dxa"/>
            <w:vAlign w:val="bottom"/>
          </w:tcPr>
          <w:p>
            <w:pPr>
              <w:ind w:left="20"/>
              <w:spacing w:after="0"/>
              <w:rPr>
                <w:sz w:val="20"/>
                <w:szCs w:val="20"/>
                <w:color w:val="auto"/>
              </w:rPr>
            </w:pPr>
            <w:r>
              <w:rPr>
                <w:rFonts w:ascii="Arial" w:cs="Arial" w:eastAsia="Arial" w:hAnsi="Arial"/>
                <w:sz w:val="15"/>
                <w:szCs w:val="15"/>
                <w:color w:val="auto"/>
              </w:rPr>
              <w:t>Freestanding credit enhancement receivables</w:t>
            </w:r>
          </w:p>
        </w:tc>
        <w:tc>
          <w:tcPr>
            <w:tcW w:w="1480" w:type="dxa"/>
            <w:vAlign w:val="bottom"/>
          </w:tcPr>
          <w:p>
            <w:pPr>
              <w:jc w:val="right"/>
              <w:ind w:right="1307"/>
              <w:spacing w:after="0"/>
              <w:rPr>
                <w:sz w:val="20"/>
                <w:szCs w:val="20"/>
                <w:color w:val="auto"/>
              </w:rPr>
            </w:pPr>
            <w:r>
              <w:rPr>
                <w:rFonts w:ascii="Arial" w:cs="Arial" w:eastAsia="Arial" w:hAnsi="Arial"/>
                <w:sz w:val="15"/>
                <w:szCs w:val="15"/>
                <w:b w:val="1"/>
                <w:bCs w:val="1"/>
                <w:color w:val="auto"/>
                <w:w w:val="95"/>
              </w:rPr>
              <w:t>$</w:t>
            </w:r>
          </w:p>
        </w:tc>
        <w:tc>
          <w:tcPr>
            <w:tcW w:w="620" w:type="dxa"/>
            <w:vAlign w:val="bottom"/>
          </w:tcPr>
          <w:p>
            <w:pPr>
              <w:jc w:val="right"/>
              <w:ind w:right="27"/>
              <w:spacing w:after="0"/>
              <w:rPr>
                <w:sz w:val="20"/>
                <w:szCs w:val="20"/>
                <w:color w:val="auto"/>
              </w:rPr>
            </w:pPr>
            <w:r>
              <w:rPr>
                <w:rFonts w:ascii="Arial" w:cs="Arial" w:eastAsia="Arial" w:hAnsi="Arial"/>
                <w:sz w:val="15"/>
                <w:szCs w:val="15"/>
                <w:b w:val="1"/>
                <w:bCs w:val="1"/>
                <w:color w:val="auto"/>
              </w:rPr>
              <w:t>162</w:t>
            </w:r>
          </w:p>
        </w:tc>
        <w:tc>
          <w:tcPr>
            <w:tcW w:w="1760" w:type="dxa"/>
            <w:vAlign w:val="bottom"/>
          </w:tcPr>
          <w:p>
            <w:pPr>
              <w:jc w:val="right"/>
              <w:ind w:right="1507"/>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3"/>
              <w:spacing w:after="0"/>
              <w:rPr>
                <w:sz w:val="20"/>
                <w:szCs w:val="20"/>
                <w:color w:val="auto"/>
              </w:rPr>
            </w:pPr>
            <w:r>
              <w:rPr>
                <w:rFonts w:ascii="Arial" w:cs="Arial" w:eastAsia="Arial" w:hAnsi="Arial"/>
                <w:sz w:val="15"/>
                <w:szCs w:val="15"/>
                <w:color w:val="auto"/>
              </w:rPr>
              <w:t>253</w:t>
            </w:r>
          </w:p>
        </w:tc>
      </w:tr>
      <w:tr>
        <w:trPr>
          <w:trHeight w:val="270"/>
        </w:trPr>
        <w:tc>
          <w:tcPr>
            <w:tcW w:w="6980" w:type="dxa"/>
            <w:vAlign w:val="bottom"/>
          </w:tcPr>
          <w:p>
            <w:pPr>
              <w:ind w:left="20"/>
              <w:spacing w:after="0"/>
              <w:rPr>
                <w:sz w:val="20"/>
                <w:szCs w:val="20"/>
                <w:color w:val="auto"/>
              </w:rPr>
            </w:pPr>
            <w:r>
              <w:rPr>
                <w:rFonts w:ascii="Arial" w:cs="Arial" w:eastAsia="Arial" w:hAnsi="Arial"/>
                <w:sz w:val="15"/>
                <w:szCs w:val="15"/>
                <w:color w:val="auto"/>
              </w:rPr>
              <w:t>Primary mortgage insurance receivables, net of allowance</w:t>
            </w:r>
            <w:r>
              <w:rPr>
                <w:rFonts w:ascii="Arial" w:cs="Arial" w:eastAsia="Arial" w:hAnsi="Arial"/>
                <w:sz w:val="20"/>
                <w:szCs w:val="20"/>
                <w:color w:val="auto"/>
                <w:vertAlign w:val="superscript"/>
              </w:rPr>
              <w:t>(1)</w:t>
            </w:r>
          </w:p>
        </w:tc>
        <w:tc>
          <w:tcPr>
            <w:tcW w:w="1480" w:type="dxa"/>
            <w:vAlign w:val="bottom"/>
          </w:tcPr>
          <w:p>
            <w:pPr>
              <w:spacing w:after="0"/>
              <w:rPr>
                <w:sz w:val="23"/>
                <w:szCs w:val="23"/>
                <w:color w:val="auto"/>
              </w:rPr>
            </w:pPr>
          </w:p>
        </w:tc>
        <w:tc>
          <w:tcPr>
            <w:tcW w:w="620" w:type="dxa"/>
            <w:vAlign w:val="bottom"/>
          </w:tcPr>
          <w:p>
            <w:pPr>
              <w:jc w:val="right"/>
              <w:ind w:right="27"/>
              <w:spacing w:after="0"/>
              <w:rPr>
                <w:sz w:val="20"/>
                <w:szCs w:val="20"/>
                <w:color w:val="auto"/>
              </w:rPr>
            </w:pPr>
            <w:r>
              <w:rPr>
                <w:rFonts w:ascii="Arial" w:cs="Arial" w:eastAsia="Arial" w:hAnsi="Arial"/>
                <w:sz w:val="15"/>
                <w:szCs w:val="15"/>
                <w:b w:val="1"/>
                <w:bCs w:val="1"/>
                <w:color w:val="auto"/>
              </w:rPr>
              <w:t>61</w:t>
            </w:r>
          </w:p>
        </w:tc>
        <w:tc>
          <w:tcPr>
            <w:tcW w:w="1760" w:type="dxa"/>
            <w:vAlign w:val="bottom"/>
          </w:tcPr>
          <w:p>
            <w:pPr>
              <w:spacing w:after="0"/>
              <w:rPr>
                <w:sz w:val="23"/>
                <w:szCs w:val="23"/>
                <w:color w:val="auto"/>
              </w:rPr>
            </w:pPr>
          </w:p>
        </w:tc>
        <w:tc>
          <w:tcPr>
            <w:tcW w:w="380" w:type="dxa"/>
            <w:vAlign w:val="bottom"/>
          </w:tcPr>
          <w:p>
            <w:pPr>
              <w:jc w:val="right"/>
              <w:ind w:right="3"/>
              <w:spacing w:after="0"/>
              <w:rPr>
                <w:sz w:val="20"/>
                <w:szCs w:val="20"/>
                <w:color w:val="auto"/>
              </w:rPr>
            </w:pPr>
            <w:r>
              <w:rPr>
                <w:rFonts w:ascii="Arial" w:cs="Arial" w:eastAsia="Arial" w:hAnsi="Arial"/>
                <w:sz w:val="15"/>
                <w:szCs w:val="15"/>
                <w:color w:val="auto"/>
              </w:rPr>
              <w:t>54</w:t>
            </w:r>
          </w:p>
        </w:tc>
      </w:tr>
    </w:tbl>
    <w:p>
      <w:pPr>
        <w:spacing w:after="0" w:line="69" w:lineRule="exact"/>
        <w:rPr>
          <w:sz w:val="20"/>
          <w:szCs w:val="20"/>
          <w:color w:val="auto"/>
        </w:rPr>
      </w:pPr>
    </w:p>
    <w:p>
      <w:pPr>
        <w:ind w:left="240" w:right="500" w:hanging="237"/>
        <w:spacing w:after="0" w:line="278" w:lineRule="auto"/>
        <w:tabs>
          <w:tab w:leader="none" w:pos="233" w:val="left"/>
        </w:tabs>
        <w:numPr>
          <w:ilvl w:val="0"/>
          <w:numId w:val="31"/>
        </w:numPr>
        <w:rPr>
          <w:rFonts w:ascii="Arial" w:cs="Arial" w:eastAsia="Arial" w:hAnsi="Arial"/>
          <w:sz w:val="9"/>
          <w:szCs w:val="9"/>
          <w:color w:val="auto"/>
        </w:rPr>
      </w:pPr>
      <w:r>
        <w:rPr>
          <w:rFonts w:ascii="Arial" w:cs="Arial" w:eastAsia="Arial" w:hAnsi="Arial"/>
          <w:sz w:val="14"/>
          <w:szCs w:val="14"/>
          <w:color w:val="auto"/>
        </w:rPr>
        <w:t>Amount is net of a valuation allowance of $401 million as of June 30, 2024 and $417 million as of December 31, 2023. The vast majority of this valuation allowance related to deferred payment obligations associated with unpaid claim amounts for which collectability is uncertain.</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1" w:name="page32"/>
    <w:bookmarkEnd w:id="31"/>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table below displays the approximate cash paid or transferred to investors and counterparties for credit risk transfer transactions. The cash represents the portion of the guaranty fee paid to investors as compensation for taking on a share of the credit risk.</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Credit Risk Transfer Transactions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780" w:type="dxa"/>
            <w:vAlign w:val="bottom"/>
            <w:tcBorders>
              <w:top w:val="single" w:sz="8" w:color="2C6937"/>
            </w:tcBorders>
          </w:tcPr>
          <w:p>
            <w:pPr>
              <w:spacing w:after="0"/>
              <w:rPr>
                <w:sz w:val="18"/>
                <w:szCs w:val="18"/>
                <w:color w:val="auto"/>
              </w:rPr>
            </w:pPr>
          </w:p>
        </w:tc>
        <w:tc>
          <w:tcPr>
            <w:tcW w:w="2980" w:type="dxa"/>
            <w:vAlign w:val="bottom"/>
            <w:tcBorders>
              <w:top w:val="single" w:sz="8" w:color="2C6937"/>
              <w:bottom w:val="single" w:sz="8" w:color="2C6937"/>
            </w:tcBorders>
            <w:gridSpan w:val="3"/>
          </w:tcPr>
          <w:p>
            <w:pPr>
              <w:jc w:val="center"/>
              <w:ind w:left="388"/>
              <w:spacing w:after="0"/>
              <w:rPr>
                <w:sz w:val="20"/>
                <w:szCs w:val="20"/>
                <w:color w:val="auto"/>
              </w:rPr>
            </w:pPr>
            <w:r>
              <w:rPr>
                <w:rFonts w:ascii="Arial" w:cs="Arial" w:eastAsia="Arial" w:hAnsi="Arial"/>
                <w:sz w:val="14"/>
                <w:szCs w:val="14"/>
                <w:b w:val="1"/>
                <w:bCs w:val="1"/>
                <w:color w:val="auto"/>
                <w:w w:val="97"/>
              </w:rPr>
              <w:t>For the Six Months Ended June 30,</w:t>
            </w:r>
          </w:p>
        </w:tc>
        <w:tc>
          <w:tcPr>
            <w:tcW w:w="460" w:type="dxa"/>
            <w:vAlign w:val="bottom"/>
            <w:tcBorders>
              <w:top w:val="single" w:sz="8" w:color="2C6937"/>
              <w:bottom w:val="single" w:sz="8" w:color="2C6937"/>
            </w:tcBorders>
          </w:tcPr>
          <w:p>
            <w:pPr>
              <w:spacing w:after="0"/>
              <w:rPr>
                <w:sz w:val="18"/>
                <w:szCs w:val="18"/>
                <w:color w:val="auto"/>
              </w:rPr>
            </w:pPr>
          </w:p>
        </w:tc>
      </w:tr>
      <w:tr>
        <w:trPr>
          <w:trHeight w:val="186"/>
        </w:trPr>
        <w:tc>
          <w:tcPr>
            <w:tcW w:w="7780" w:type="dxa"/>
            <w:vAlign w:val="bottom"/>
          </w:tcPr>
          <w:p>
            <w:pPr>
              <w:spacing w:after="0"/>
              <w:rPr>
                <w:sz w:val="16"/>
                <w:szCs w:val="16"/>
                <w:color w:val="auto"/>
              </w:rPr>
            </w:pP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tcPr>
          <w:p>
            <w:pPr>
              <w:jc w:val="right"/>
              <w:ind w:right="147"/>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2C6937"/>
            </w:tcBorders>
          </w:tcPr>
          <w:p>
            <w:pPr>
              <w:spacing w:after="0"/>
              <w:rPr>
                <w:sz w:val="16"/>
                <w:szCs w:val="16"/>
                <w:color w:val="auto"/>
              </w:rPr>
            </w:pPr>
          </w:p>
        </w:tc>
      </w:tr>
      <w:tr>
        <w:trPr>
          <w:trHeight w:val="185"/>
        </w:trPr>
        <w:tc>
          <w:tcPr>
            <w:tcW w:w="7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40" w:type="dxa"/>
            <w:vAlign w:val="bottom"/>
            <w:gridSpan w:val="2"/>
          </w:tcPr>
          <w:p>
            <w:pPr>
              <w:jc w:val="center"/>
              <w:ind w:right="507"/>
              <w:spacing w:after="0"/>
              <w:rPr>
                <w:sz w:val="20"/>
                <w:szCs w:val="20"/>
                <w:color w:val="auto"/>
              </w:rPr>
            </w:pPr>
            <w:r>
              <w:rPr>
                <w:rFonts w:ascii="Arial" w:cs="Arial" w:eastAsia="Arial" w:hAnsi="Arial"/>
                <w:sz w:val="14"/>
                <w:szCs w:val="14"/>
                <w:b w:val="1"/>
                <w:bCs w:val="1"/>
                <w:color w:val="auto"/>
                <w:w w:val="98"/>
              </w:rPr>
              <w:t>(Dollars in millions)</w:t>
            </w:r>
          </w:p>
        </w:tc>
        <w:tc>
          <w:tcPr>
            <w:tcW w:w="460" w:type="dxa"/>
            <w:vAlign w:val="bottom"/>
          </w:tcPr>
          <w:p>
            <w:pPr>
              <w:spacing w:after="0"/>
              <w:rPr>
                <w:sz w:val="16"/>
                <w:szCs w:val="16"/>
                <w:color w:val="auto"/>
              </w:rPr>
            </w:pPr>
          </w:p>
        </w:tc>
      </w:tr>
      <w:tr>
        <w:trPr>
          <w:trHeight w:val="219"/>
        </w:trPr>
        <w:tc>
          <w:tcPr>
            <w:tcW w:w="7780" w:type="dxa"/>
            <w:vAlign w:val="bottom"/>
          </w:tcPr>
          <w:p>
            <w:pPr>
              <w:ind w:left="20"/>
              <w:spacing w:after="0"/>
              <w:rPr>
                <w:sz w:val="20"/>
                <w:szCs w:val="20"/>
                <w:color w:val="auto"/>
              </w:rPr>
            </w:pPr>
            <w:r>
              <w:rPr>
                <w:rFonts w:ascii="Arial" w:cs="Arial" w:eastAsia="Arial" w:hAnsi="Arial"/>
                <w:sz w:val="15"/>
                <w:szCs w:val="15"/>
                <w:color w:val="auto"/>
              </w:rPr>
              <w:t>Cash paid or transferred for:</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60"/>
        </w:trPr>
        <w:tc>
          <w:tcPr>
            <w:tcW w:w="7780" w:type="dxa"/>
            <w:vAlign w:val="bottom"/>
          </w:tcPr>
          <w:p>
            <w:pPr>
              <w:ind w:left="160"/>
              <w:spacing w:after="0"/>
              <w:rPr>
                <w:sz w:val="20"/>
                <w:szCs w:val="20"/>
                <w:color w:val="auto"/>
              </w:rPr>
            </w:pPr>
            <w:r>
              <w:rPr>
                <w:rFonts w:ascii="Arial" w:cs="Arial" w:eastAsia="Arial" w:hAnsi="Arial"/>
                <w:sz w:val="15"/>
                <w:szCs w:val="15"/>
                <w:color w:val="auto"/>
              </w:rPr>
              <w:t>CAS transactions</w:t>
            </w:r>
            <w:r>
              <w:rPr>
                <w:rFonts w:ascii="Arial" w:cs="Arial" w:eastAsia="Arial" w:hAnsi="Arial"/>
                <w:sz w:val="20"/>
                <w:szCs w:val="20"/>
                <w:color w:val="auto"/>
                <w:vertAlign w:val="superscript"/>
              </w:rPr>
              <w:t>(1)</w:t>
            </w:r>
          </w:p>
        </w:tc>
        <w:tc>
          <w:tcPr>
            <w:tcW w:w="1040" w:type="dxa"/>
            <w:vAlign w:val="bottom"/>
          </w:tcPr>
          <w:p>
            <w:pPr>
              <w:jc w:val="right"/>
              <w:ind w:right="868"/>
              <w:spacing w:after="0"/>
              <w:rPr>
                <w:sz w:val="20"/>
                <w:szCs w:val="20"/>
                <w:color w:val="auto"/>
              </w:rPr>
            </w:pPr>
            <w:r>
              <w:rPr>
                <w:rFonts w:ascii="Arial" w:cs="Arial" w:eastAsia="Arial" w:hAnsi="Arial"/>
                <w:sz w:val="15"/>
                <w:szCs w:val="15"/>
                <w:b w:val="1"/>
                <w:bCs w:val="1"/>
                <w:color w:val="auto"/>
                <w:w w:val="95"/>
              </w:rPr>
              <w:t>$</w:t>
            </w:r>
          </w:p>
        </w:tc>
        <w:tc>
          <w:tcPr>
            <w:tcW w:w="660" w:type="dxa"/>
            <w:vAlign w:val="bottom"/>
          </w:tcPr>
          <w:p>
            <w:pPr>
              <w:jc w:val="right"/>
              <w:ind w:right="25"/>
              <w:spacing w:after="0"/>
              <w:rPr>
                <w:sz w:val="20"/>
                <w:szCs w:val="20"/>
                <w:color w:val="auto"/>
              </w:rPr>
            </w:pPr>
            <w:r>
              <w:rPr>
                <w:rFonts w:ascii="Arial" w:cs="Arial" w:eastAsia="Arial" w:hAnsi="Arial"/>
                <w:sz w:val="15"/>
                <w:szCs w:val="15"/>
                <w:b w:val="1"/>
                <w:bCs w:val="1"/>
                <w:color w:val="auto"/>
              </w:rPr>
              <w:t>458</w:t>
            </w:r>
          </w:p>
        </w:tc>
        <w:tc>
          <w:tcPr>
            <w:tcW w:w="1280" w:type="dxa"/>
            <w:vAlign w:val="bottom"/>
          </w:tcPr>
          <w:p>
            <w:pPr>
              <w:jc w:val="right"/>
              <w:ind w:right="1027"/>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3"/>
              <w:spacing w:after="0"/>
              <w:rPr>
                <w:sz w:val="20"/>
                <w:szCs w:val="20"/>
                <w:color w:val="auto"/>
              </w:rPr>
            </w:pPr>
            <w:r>
              <w:rPr>
                <w:rFonts w:ascii="Arial" w:cs="Arial" w:eastAsia="Arial" w:hAnsi="Arial"/>
                <w:sz w:val="15"/>
                <w:szCs w:val="15"/>
                <w:color w:val="auto"/>
              </w:rPr>
              <w:t>450</w:t>
            </w:r>
          </w:p>
        </w:tc>
      </w:tr>
      <w:tr>
        <w:trPr>
          <w:trHeight w:val="225"/>
        </w:trPr>
        <w:tc>
          <w:tcPr>
            <w:tcW w:w="7780" w:type="dxa"/>
            <w:vAlign w:val="bottom"/>
          </w:tcPr>
          <w:p>
            <w:pPr>
              <w:ind w:left="160"/>
              <w:spacing w:after="0"/>
              <w:rPr>
                <w:sz w:val="20"/>
                <w:szCs w:val="20"/>
                <w:color w:val="auto"/>
              </w:rPr>
            </w:pPr>
            <w:r>
              <w:rPr>
                <w:rFonts w:ascii="Arial" w:cs="Arial" w:eastAsia="Arial" w:hAnsi="Arial"/>
                <w:sz w:val="15"/>
                <w:szCs w:val="15"/>
                <w:color w:val="auto"/>
              </w:rPr>
              <w:t>CIRT transactions</w:t>
            </w:r>
          </w:p>
        </w:tc>
        <w:tc>
          <w:tcPr>
            <w:tcW w:w="1040" w:type="dxa"/>
            <w:vAlign w:val="bottom"/>
          </w:tcPr>
          <w:p>
            <w:pPr>
              <w:spacing w:after="0"/>
              <w:rPr>
                <w:sz w:val="19"/>
                <w:szCs w:val="19"/>
                <w:color w:val="auto"/>
              </w:rPr>
            </w:pPr>
          </w:p>
        </w:tc>
        <w:tc>
          <w:tcPr>
            <w:tcW w:w="660" w:type="dxa"/>
            <w:vAlign w:val="bottom"/>
          </w:tcPr>
          <w:p>
            <w:pPr>
              <w:jc w:val="right"/>
              <w:ind w:right="25"/>
              <w:spacing w:after="0"/>
              <w:rPr>
                <w:sz w:val="20"/>
                <w:szCs w:val="20"/>
                <w:color w:val="auto"/>
              </w:rPr>
            </w:pPr>
            <w:r>
              <w:rPr>
                <w:rFonts w:ascii="Arial" w:cs="Arial" w:eastAsia="Arial" w:hAnsi="Arial"/>
                <w:sz w:val="15"/>
                <w:szCs w:val="15"/>
                <w:b w:val="1"/>
                <w:bCs w:val="1"/>
                <w:color w:val="auto"/>
              </w:rPr>
              <w:t>209</w:t>
            </w:r>
          </w:p>
        </w:tc>
        <w:tc>
          <w:tcPr>
            <w:tcW w:w="1280" w:type="dxa"/>
            <w:vAlign w:val="bottom"/>
          </w:tcPr>
          <w:p>
            <w:pPr>
              <w:spacing w:after="0"/>
              <w:rPr>
                <w:sz w:val="19"/>
                <w:szCs w:val="19"/>
                <w:color w:val="auto"/>
              </w:rPr>
            </w:pPr>
          </w:p>
        </w:tc>
        <w:tc>
          <w:tcPr>
            <w:tcW w:w="460" w:type="dxa"/>
            <w:vAlign w:val="bottom"/>
          </w:tcPr>
          <w:p>
            <w:pPr>
              <w:jc w:val="right"/>
              <w:ind w:right="3"/>
              <w:spacing w:after="0"/>
              <w:rPr>
                <w:sz w:val="20"/>
                <w:szCs w:val="20"/>
                <w:color w:val="auto"/>
              </w:rPr>
            </w:pPr>
            <w:r>
              <w:rPr>
                <w:rFonts w:ascii="Arial" w:cs="Arial" w:eastAsia="Arial" w:hAnsi="Arial"/>
                <w:sz w:val="15"/>
                <w:szCs w:val="15"/>
                <w:color w:val="auto"/>
              </w:rPr>
              <w:t>198</w:t>
            </w:r>
          </w:p>
        </w:tc>
      </w:tr>
      <w:tr>
        <w:trPr>
          <w:trHeight w:val="232"/>
        </w:trPr>
        <w:tc>
          <w:tcPr>
            <w:tcW w:w="7780" w:type="dxa"/>
            <w:vAlign w:val="bottom"/>
          </w:tcPr>
          <w:p>
            <w:pPr>
              <w:ind w:left="160"/>
              <w:spacing w:after="0"/>
              <w:rPr>
                <w:sz w:val="20"/>
                <w:szCs w:val="20"/>
                <w:color w:val="auto"/>
              </w:rPr>
            </w:pPr>
            <w:r>
              <w:rPr>
                <w:rFonts w:ascii="Arial" w:cs="Arial" w:eastAsia="Arial" w:hAnsi="Arial"/>
                <w:sz w:val="15"/>
                <w:szCs w:val="15"/>
                <w:color w:val="auto"/>
              </w:rPr>
              <w:t>Lender risk-sharing transactions</w:t>
            </w:r>
          </w:p>
        </w:tc>
        <w:tc>
          <w:tcPr>
            <w:tcW w:w="1040" w:type="dxa"/>
            <w:vAlign w:val="bottom"/>
          </w:tcPr>
          <w:p>
            <w:pPr>
              <w:spacing w:after="0"/>
              <w:rPr>
                <w:sz w:val="20"/>
                <w:szCs w:val="20"/>
                <w:color w:val="auto"/>
              </w:rPr>
            </w:pPr>
          </w:p>
        </w:tc>
        <w:tc>
          <w:tcPr>
            <w:tcW w:w="660" w:type="dxa"/>
            <w:vAlign w:val="bottom"/>
          </w:tcPr>
          <w:p>
            <w:pPr>
              <w:jc w:val="right"/>
              <w:ind w:right="25"/>
              <w:spacing w:after="0"/>
              <w:rPr>
                <w:sz w:val="20"/>
                <w:szCs w:val="20"/>
                <w:color w:val="auto"/>
              </w:rPr>
            </w:pPr>
            <w:r>
              <w:rPr>
                <w:rFonts w:ascii="Arial" w:cs="Arial" w:eastAsia="Arial" w:hAnsi="Arial"/>
                <w:sz w:val="15"/>
                <w:szCs w:val="15"/>
                <w:b w:val="1"/>
                <w:bCs w:val="1"/>
                <w:color w:val="auto"/>
              </w:rPr>
              <w:t>76</w:t>
            </w:r>
          </w:p>
        </w:tc>
        <w:tc>
          <w:tcPr>
            <w:tcW w:w="1280" w:type="dxa"/>
            <w:vAlign w:val="bottom"/>
          </w:tcPr>
          <w:p>
            <w:pPr>
              <w:spacing w:after="0"/>
              <w:rPr>
                <w:sz w:val="20"/>
                <w:szCs w:val="20"/>
                <w:color w:val="auto"/>
              </w:rPr>
            </w:pPr>
          </w:p>
        </w:tc>
        <w:tc>
          <w:tcPr>
            <w:tcW w:w="460" w:type="dxa"/>
            <w:vAlign w:val="bottom"/>
          </w:tcPr>
          <w:p>
            <w:pPr>
              <w:jc w:val="right"/>
              <w:ind w:right="3"/>
              <w:spacing w:after="0"/>
              <w:rPr>
                <w:sz w:val="20"/>
                <w:szCs w:val="20"/>
                <w:color w:val="auto"/>
              </w:rPr>
            </w:pPr>
            <w:r>
              <w:rPr>
                <w:rFonts w:ascii="Arial" w:cs="Arial" w:eastAsia="Arial" w:hAnsi="Arial"/>
                <w:sz w:val="15"/>
                <w:szCs w:val="15"/>
                <w:color w:val="auto"/>
              </w:rPr>
              <w:t>68</w:t>
            </w:r>
          </w:p>
        </w:tc>
      </w:tr>
    </w:tbl>
    <w:p>
      <w:pPr>
        <w:spacing w:after="0" w:line="111" w:lineRule="exact"/>
        <w:rPr>
          <w:sz w:val="20"/>
          <w:szCs w:val="20"/>
          <w:color w:val="auto"/>
        </w:rPr>
      </w:pPr>
    </w:p>
    <w:p>
      <w:pPr>
        <w:ind w:left="240" w:right="300" w:hanging="237"/>
        <w:spacing w:after="0" w:line="229" w:lineRule="auto"/>
        <w:tabs>
          <w:tab w:leader="none" w:pos="233"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Consists of cash paid for interest expense net of LIBOR or SOFR, as applicable, on outstanding CAS debt and amounts paid for both CAS REMIC</w:t>
      </w:r>
      <w:r>
        <w:rPr>
          <w:rFonts w:ascii="Arial" w:cs="Arial" w:eastAsia="Arial" w:hAnsi="Arial"/>
          <w:sz w:val="17"/>
          <w:szCs w:val="17"/>
          <w:color w:val="auto"/>
          <w:vertAlign w:val="superscript"/>
        </w:rPr>
        <w:t>®</w:t>
      </w:r>
      <w:r>
        <w:rPr>
          <w:rFonts w:ascii="Arial" w:cs="Arial" w:eastAsia="Arial" w:hAnsi="Arial"/>
          <w:sz w:val="14"/>
          <w:szCs w:val="14"/>
          <w:color w:val="auto"/>
        </w:rPr>
        <w:t xml:space="preserve"> and CAS Credit-linked notes transactions.</w:t>
      </w:r>
    </w:p>
    <w:p>
      <w:pPr>
        <w:spacing w:after="0" w:line="77"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Cash paid or transferred to counterparties for CIRT transactions includes cancellation fees paid on certain CIRT transactions where we determined that the cost of these deals exceeded the expected remaining benefit. The table excludes cash paid upon the repurchase of certain CAS notes. In the first half of 2024, we paid $61 million in purchase premiums in connection with our repurchase of $807 million in outstanding CAS notes.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primary characteristics of loans in our single-family conventional guaranty book of business without credit enhancement.</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Loans Currently without Credit Enhancement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4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180" w:type="dxa"/>
            <w:vAlign w:val="bottom"/>
            <w:tcBorders>
              <w:top w:val="single" w:sz="8" w:color="2C6937"/>
              <w:bottom w:val="single" w:sz="8" w:color="2C6937"/>
            </w:tcBorders>
          </w:tcPr>
          <w:p>
            <w:pPr>
              <w:spacing w:after="0"/>
              <w:rPr>
                <w:sz w:val="18"/>
                <w:szCs w:val="18"/>
                <w:color w:val="auto"/>
              </w:rPr>
            </w:pPr>
          </w:p>
        </w:tc>
        <w:tc>
          <w:tcPr>
            <w:tcW w:w="90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860" w:type="dxa"/>
            <w:vAlign w:val="bottom"/>
            <w:tcBorders>
              <w:top w:val="single" w:sz="8" w:color="2C6937"/>
              <w:bottom w:val="single" w:sz="8" w:color="2C6937"/>
            </w:tcBorders>
            <w:gridSpan w:val="3"/>
          </w:tcPr>
          <w:p>
            <w:pPr>
              <w:jc w:val="center"/>
              <w:ind w:left="1325"/>
              <w:spacing w:after="0"/>
              <w:rPr>
                <w:sz w:val="20"/>
                <w:szCs w:val="20"/>
                <w:color w:val="auto"/>
              </w:rPr>
            </w:pPr>
            <w:r>
              <w:rPr>
                <w:rFonts w:ascii="Arial" w:cs="Arial" w:eastAsia="Arial" w:hAnsi="Arial"/>
                <w:sz w:val="14"/>
                <w:szCs w:val="14"/>
                <w:b w:val="1"/>
                <w:bCs w:val="1"/>
                <w:color w:val="auto"/>
                <w:w w:val="97"/>
              </w:rPr>
              <w:t>As of</w:t>
            </w:r>
          </w:p>
        </w:tc>
        <w:tc>
          <w:tcPr>
            <w:tcW w:w="88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1560" w:type="dxa"/>
            <w:vAlign w:val="bottom"/>
            <w:tcBorders>
              <w:top w:val="single" w:sz="8" w:color="2C6937"/>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80" w:type="dxa"/>
            <w:vAlign w:val="bottom"/>
            <w:tcBorders>
              <w:bottom w:val="single" w:sz="8" w:color="2C6937"/>
            </w:tcBorders>
            <w:gridSpan w:val="3"/>
          </w:tcPr>
          <w:p>
            <w:pPr>
              <w:jc w:val="right"/>
              <w:ind w:right="865"/>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664"/>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39"/>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Unpaid</w:t>
            </w:r>
          </w:p>
        </w:tc>
        <w:tc>
          <w:tcPr>
            <w:tcW w:w="16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9"/>
              </w:rPr>
              <w:t>Percentage of Single-</w:t>
            </w:r>
          </w:p>
        </w:tc>
        <w:tc>
          <w:tcPr>
            <w:tcW w:w="18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Unpaid</w:t>
            </w:r>
          </w:p>
        </w:tc>
        <w:tc>
          <w:tcPr>
            <w:tcW w:w="15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Percentage of Single-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7"/>
              </w:rPr>
              <w:t>Family Conventional</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9"/>
              </w:rPr>
              <w:t>Family Conventional</w:t>
            </w:r>
          </w:p>
        </w:tc>
        <w:tc>
          <w:tcPr>
            <w:tcW w:w="0" w:type="dxa"/>
            <w:vAlign w:val="bottom"/>
          </w:tcPr>
          <w:p>
            <w:pPr>
              <w:spacing w:after="0"/>
              <w:rPr>
                <w:sz w:val="1"/>
                <w:szCs w:val="1"/>
                <w:color w:val="auto"/>
              </w:rPr>
            </w:pPr>
          </w:p>
        </w:tc>
      </w:tr>
      <w:tr>
        <w:trPr>
          <w:trHeight w:val="138"/>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7"/>
              </w:rPr>
              <w:t>Principal</w:t>
            </w:r>
          </w:p>
        </w:tc>
        <w:tc>
          <w:tcPr>
            <w:tcW w:w="16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Guaranty Book of</w:t>
            </w:r>
          </w:p>
        </w:tc>
        <w:tc>
          <w:tcPr>
            <w:tcW w:w="180" w:type="dxa"/>
            <w:vAlign w:val="bottom"/>
          </w:tcPr>
          <w:p>
            <w:pPr>
              <w:spacing w:after="0"/>
              <w:rPr>
                <w:sz w:val="12"/>
                <w:szCs w:val="12"/>
                <w:color w:val="auto"/>
              </w:rPr>
            </w:pPr>
          </w:p>
        </w:tc>
        <w:tc>
          <w:tcPr>
            <w:tcW w:w="10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7"/>
              </w:rPr>
              <w:t>Principal</w:t>
            </w:r>
          </w:p>
        </w:tc>
        <w:tc>
          <w:tcPr>
            <w:tcW w:w="15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Guaranty Book of</w:t>
            </w:r>
          </w:p>
        </w:tc>
        <w:tc>
          <w:tcPr>
            <w:tcW w:w="0" w:type="dxa"/>
            <w:vAlign w:val="bottom"/>
          </w:tcPr>
          <w:p>
            <w:pPr>
              <w:spacing w:after="0"/>
              <w:rPr>
                <w:sz w:val="1"/>
                <w:szCs w:val="1"/>
                <w:color w:val="auto"/>
              </w:rPr>
            </w:pPr>
          </w:p>
        </w:tc>
      </w:tr>
      <w:tr>
        <w:trPr>
          <w:trHeight w:val="180"/>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Balance</w:t>
            </w:r>
          </w:p>
        </w:tc>
        <w:tc>
          <w:tcPr>
            <w:tcW w:w="1680" w:type="dxa"/>
            <w:vAlign w:val="bottom"/>
            <w:tcBorders>
              <w:bottom w:val="single" w:sz="8" w:color="2C6937"/>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Business</w:t>
            </w:r>
          </w:p>
        </w:tc>
        <w:tc>
          <w:tcPr>
            <w:tcW w:w="18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Balance</w:t>
            </w: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Business</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jc w:val="center"/>
              <w:ind w:left="305"/>
              <w:spacing w:after="0"/>
              <w:rPr>
                <w:sz w:val="20"/>
                <w:szCs w:val="20"/>
                <w:color w:val="auto"/>
              </w:rPr>
            </w:pPr>
            <w:r>
              <w:rPr>
                <w:rFonts w:ascii="Arial" w:cs="Arial" w:eastAsia="Arial" w:hAnsi="Arial"/>
                <w:sz w:val="14"/>
                <w:szCs w:val="14"/>
                <w:b w:val="1"/>
                <w:bCs w:val="1"/>
                <w:color w:val="auto"/>
                <w:w w:val="98"/>
              </w:rPr>
              <w:t>(Dollars in billions)</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Low LTV ratio or short-term</w:t>
            </w:r>
            <w:r>
              <w:rPr>
                <w:rFonts w:ascii="Arial" w:cs="Arial" w:eastAsia="Arial" w:hAnsi="Arial"/>
                <w:sz w:val="20"/>
                <w:szCs w:val="20"/>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1,078</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30 %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32"/>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Pre-credit risk transfer program inception</w:t>
            </w:r>
            <w:r>
              <w:rPr>
                <w:rFonts w:ascii="Arial" w:cs="Arial" w:eastAsia="Arial" w:hAnsi="Arial"/>
                <w:sz w:val="20"/>
                <w:szCs w:val="20"/>
                <w:color w:val="auto"/>
                <w:vertAlign w:val="superscript"/>
              </w:rPr>
              <w:t>(2)</w:t>
            </w:r>
          </w:p>
        </w:tc>
        <w:tc>
          <w:tcPr>
            <w:tcW w:w="18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225</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2"/>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Recently acquired</w:t>
            </w:r>
            <w:r>
              <w:rPr>
                <w:rFonts w:ascii="Arial" w:cs="Arial" w:eastAsia="Arial" w:hAnsi="Arial"/>
                <w:sz w:val="20"/>
                <w:szCs w:val="20"/>
                <w:color w:val="auto"/>
                <w:vertAlign w:val="superscript"/>
              </w:rPr>
              <w:t>(3)</w:t>
            </w:r>
          </w:p>
        </w:tc>
        <w:tc>
          <w:tcPr>
            <w:tcW w:w="18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144</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2"/>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(4)</w:t>
            </w:r>
          </w:p>
        </w:tc>
        <w:tc>
          <w:tcPr>
            <w:tcW w:w="18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747</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6"/>
        </w:trPr>
        <w:tc>
          <w:tcPr>
            <w:tcW w:w="55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Less: Loans in multiple categories</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(257)</w:t>
            </w:r>
          </w:p>
        </w:tc>
        <w:tc>
          <w:tcPr>
            <w:tcW w:w="100" w:type="dxa"/>
            <w:vAlign w:val="bottom"/>
          </w:tcPr>
          <w:p>
            <w:pPr>
              <w:spacing w:after="0"/>
              <w:rPr>
                <w:sz w:val="19"/>
                <w:szCs w:val="19"/>
                <w:color w:val="auto"/>
              </w:rPr>
            </w:pPr>
          </w:p>
        </w:tc>
        <w:tc>
          <w:tcPr>
            <w:tcW w:w="1580" w:type="dxa"/>
            <w:vAlign w:val="bottom"/>
            <w:tcBorders>
              <w:bottom w:val="single" w:sz="8" w:color="2C6937"/>
            </w:tcBorders>
          </w:tcPr>
          <w:p>
            <w:pPr>
              <w:jc w:val="right"/>
              <w:ind w:right="105"/>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9"/>
                <w:szCs w:val="19"/>
                <w:color w:val="auto"/>
              </w:rPr>
            </w:pPr>
          </w:p>
        </w:tc>
        <w:tc>
          <w:tcPr>
            <w:tcW w:w="1560" w:type="dxa"/>
            <w:vAlign w:val="bottom"/>
            <w:tcBorders>
              <w:bottom w:val="single" w:sz="8" w:color="2C6937"/>
            </w:tcBorders>
          </w:tcPr>
          <w:p>
            <w:pPr>
              <w:jc w:val="right"/>
              <w:ind w:right="84"/>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5"/>
        </w:trPr>
        <w:tc>
          <w:tcPr>
            <w:tcW w:w="5640" w:type="dxa"/>
            <w:vAlign w:val="bottom"/>
            <w:gridSpan w:val="2"/>
          </w:tcPr>
          <w:p>
            <w:pPr>
              <w:ind w:left="220"/>
              <w:spacing w:after="0"/>
              <w:rPr>
                <w:sz w:val="20"/>
                <w:szCs w:val="20"/>
                <w:color w:val="auto"/>
              </w:rPr>
            </w:pPr>
            <w:r>
              <w:rPr>
                <w:rFonts w:ascii="Arial" w:cs="Arial" w:eastAsia="Arial" w:hAnsi="Arial"/>
                <w:sz w:val="15"/>
                <w:szCs w:val="15"/>
                <w:color w:val="auto"/>
              </w:rPr>
              <w:t>Total single-family loans currently without credit enhancement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1,937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53 %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1,991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1"/>
        </w:trPr>
        <w:tc>
          <w:tcPr>
            <w:tcW w:w="55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20" w:hanging="217"/>
        <w:spacing w:after="0"/>
        <w:tabs>
          <w:tab w:leader="none" w:pos="2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Represents loans with an LTV ratio less than or equal to 60% or loans with an original maturity of 20 years or less.</w:t>
      </w:r>
    </w:p>
    <w:p>
      <w:pPr>
        <w:spacing w:after="0" w:line="37"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Represents loans that were acquired before the inception of our credit risk transfer programs. Also includes Refi Plus</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loans.</w:t>
      </w:r>
    </w:p>
    <w:p>
      <w:pPr>
        <w:ind w:left="220" w:hanging="217"/>
        <w:spacing w:after="0" w:line="195" w:lineRule="auto"/>
        <w:tabs>
          <w:tab w:leader="none" w:pos="2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Represents loans that were recently acquired and have not been included in a reference pool.</w:t>
      </w:r>
    </w:p>
    <w:p>
      <w:pPr>
        <w:spacing w:after="0" w:line="38" w:lineRule="exact"/>
        <w:rPr>
          <w:rFonts w:ascii="Arial" w:cs="Arial" w:eastAsia="Arial" w:hAnsi="Arial"/>
          <w:sz w:val="18"/>
          <w:szCs w:val="18"/>
          <w:color w:val="auto"/>
          <w:vertAlign w:val="superscript"/>
        </w:rPr>
      </w:pPr>
    </w:p>
    <w:p>
      <w:pPr>
        <w:ind w:left="240" w:right="80" w:hanging="237"/>
        <w:spacing w:after="0" w:line="222" w:lineRule="auto"/>
        <w:tabs>
          <w:tab w:leader="none" w:pos="233"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Includes adjustable-rate mortgage loans, loans with a combined LTV ratio greater than 97%, non-Refi Plus loans acquired after the inception of our credit risk transfer programs that became 30 or more days delinquent prior to inclusion in a credit risk transfer transaction, and loans that were delinquent as of June 30, 2024 or December 31, 2023. Also includes loans that were previously included in a credit risk transfer transaction but subsequently had the coverage canceled.</w:t>
      </w:r>
    </w:p>
    <w:p>
      <w:pPr>
        <w:spacing w:after="0" w:line="91"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Problem Loan Management</w:t>
      </w:r>
    </w:p>
    <w:p>
      <w:pPr>
        <w:spacing w:after="0" w:line="10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Our problem loan management strategies focus primarily on reducing defaults to avoid losses that would otherwise occur and pursuing foreclosure alternatives to mitigate the severity of the losses we incur. See “MD&amp;A—Single-Family Business—Single-Family Mortgage Credit Risk Management— Single-Family Problem Loan Management” in our 2023 Form 10-K for a discussion of delinquency statistics on our problem loans, efforts undertaken to manage our problem loans, metrics regarding our loan workout activities, real estate owned (“REO”) management and other single-family credit-related information. The discussion below updates some of that information. We also provide ongoing credit performance information on loans underlying single-family Fannie Mae MBS and loans covered by single-family credit risk transfer transactions. For loans backing Fannie Mae MBS, see the “Forbearance and Delinquency Dashboard” available in the MBS section of our Data Dynamics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which is available at www.fanniemae.com/datadynamics. For loans covered by credit risk transfer transactions, see the “Deal Performance Data” report available in the CAS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2" w:name="page33"/>
    <w:bookmarkEnd w:id="32"/>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17145</wp:posOffset>
            </wp:positionV>
            <wp:extent cx="69996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right="80"/>
        <w:spacing w:after="0" w:line="272" w:lineRule="auto"/>
        <w:rPr>
          <w:sz w:val="20"/>
          <w:szCs w:val="20"/>
          <w:color w:val="auto"/>
        </w:rPr>
      </w:pPr>
      <w:r>
        <w:rPr>
          <w:rFonts w:ascii="Arial" w:cs="Arial" w:eastAsia="Arial" w:hAnsi="Arial"/>
          <w:sz w:val="16"/>
          <w:szCs w:val="16"/>
          <w:color w:val="auto"/>
        </w:rPr>
        <w:t>CIRT sections of the tool. Information on our website is not incorporated into this report. Information in Data Dynamics may differ from similar measures presented in our financial statements and other public disclosures for a variety of reasons, including as a result of variations in the loan population covered, timing differences in reporting and other factors.</w:t>
      </w:r>
    </w:p>
    <w:p>
      <w:pPr>
        <w:spacing w:after="0" w:line="84" w:lineRule="exact"/>
        <w:rPr>
          <w:sz w:val="20"/>
          <w:szCs w:val="20"/>
          <w:color w:val="auto"/>
        </w:rPr>
      </w:pPr>
    </w:p>
    <w:p>
      <w:pPr>
        <w:ind w:left="20"/>
        <w:spacing w:after="0"/>
        <w:rPr>
          <w:sz w:val="20"/>
          <w:szCs w:val="20"/>
          <w:color w:val="auto"/>
        </w:rPr>
      </w:pPr>
      <w:r>
        <w:rPr>
          <w:rFonts w:ascii="Georgia" w:cs="Georgia" w:eastAsia="Georgia" w:hAnsi="Georgia"/>
          <w:sz w:val="19"/>
          <w:szCs w:val="19"/>
          <w:i w:val="1"/>
          <w:iCs w:val="1"/>
          <w:color w:val="05314D"/>
        </w:rPr>
        <w:t>Delinquency</w:t>
      </w:r>
    </w:p>
    <w:p>
      <w:pPr>
        <w:spacing w:after="0" w:line="93" w:lineRule="exact"/>
        <w:rPr>
          <w:sz w:val="20"/>
          <w:szCs w:val="20"/>
          <w:color w:val="auto"/>
        </w:rPr>
      </w:pPr>
    </w:p>
    <w:p>
      <w:pPr>
        <w:ind w:left="20" w:right="20"/>
        <w:spacing w:after="0" w:line="263" w:lineRule="auto"/>
        <w:rPr>
          <w:sz w:val="20"/>
          <w:szCs w:val="20"/>
          <w:color w:val="auto"/>
        </w:rPr>
      </w:pPr>
      <w:r>
        <w:rPr>
          <w:rFonts w:ascii="Arial" w:cs="Arial" w:eastAsia="Arial" w:hAnsi="Arial"/>
          <w:sz w:val="16"/>
          <w:szCs w:val="16"/>
          <w:color w:val="auto"/>
        </w:rPr>
        <w:t>The tables below display the delinquency status of loans and changes in the volume of seriously delinquent loans in our single-family conventional guaranty book of business based on the number of loans. Single-family seriously delinquent loans are loans that are 90 days or more past due or in the foreclosure process. Our single-family serious delinquency rate is expressed as a percentage of our single-family conventional guaranty book of business based on loan count. Management monitors the single-family serious delinquency rate as an indicator of potential future credit losses and loss mitigation activities. Serious delinquency rates are reflective of our performance in assessing and managing credit risk associated with single-family loans in our guaranty book of business. Typically, higher serious delinquency rates result in a higher allowance for loan losses.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Delinquency Status and Activity of Single-Family Conventional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38735</wp:posOffset>
            </wp:positionV>
            <wp:extent cx="713867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3"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3362960</wp:posOffset>
            </wp:positionH>
            <wp:positionV relativeFrom="paragraph">
              <wp:posOffset>26670</wp:posOffset>
            </wp:positionV>
            <wp:extent cx="37903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790315" cy="8255"/>
                    </a:xfrm>
                    <a:prstGeom prst="rect">
                      <a:avLst/>
                    </a:prstGeom>
                    <a:noFill/>
                  </pic:spPr>
                </pic:pic>
              </a:graphicData>
            </a:graphic>
          </wp:anchor>
        </w:drawing>
      </w:r>
    </w:p>
    <w:p>
      <w:pPr>
        <w:spacing w:after="0" w:line="38" w:lineRule="exact"/>
        <w:rPr>
          <w:sz w:val="20"/>
          <w:szCs w:val="20"/>
          <w:color w:val="auto"/>
        </w:rPr>
      </w:pPr>
    </w:p>
    <w:p>
      <w:pPr>
        <w:ind w:left="5800"/>
        <w:spacing w:after="0"/>
        <w:tabs>
          <w:tab w:leader="none" w:pos="7640" w:val="left"/>
          <w:tab w:leader="none" w:pos="9840" w:val="left"/>
        </w:tabs>
        <w:rPr>
          <w:sz w:val="20"/>
          <w:szCs w:val="20"/>
          <w:color w:val="auto"/>
        </w:rPr>
      </w:pPr>
      <w:r>
        <w:rPr>
          <w:rFonts w:ascii="Arial" w:cs="Arial" w:eastAsia="Arial" w:hAnsi="Arial"/>
          <w:sz w:val="14"/>
          <w:szCs w:val="14"/>
          <w:b w:val="1"/>
          <w:bCs w:val="1"/>
          <w:color w:val="auto"/>
        </w:rPr>
        <w:t>June 30, 2024</w:t>
      </w:r>
      <w:r>
        <w:rPr>
          <w:sz w:val="20"/>
          <w:szCs w:val="20"/>
          <w:color w:val="auto"/>
        </w:rPr>
        <w:tab/>
      </w:r>
      <w:r>
        <w:rPr>
          <w:rFonts w:ascii="Arial" w:cs="Arial" w:eastAsia="Arial" w:hAnsi="Arial"/>
          <w:sz w:val="14"/>
          <w:szCs w:val="14"/>
          <w:b w:val="1"/>
          <w:bCs w:val="1"/>
          <w:color w:val="auto"/>
        </w:rPr>
        <w:t>December 31, 2023</w:t>
      </w:r>
      <w:r>
        <w:rPr>
          <w:sz w:val="20"/>
          <w:szCs w:val="20"/>
          <w:color w:val="auto"/>
        </w:rPr>
        <w:tab/>
      </w:r>
      <w:r>
        <w:rPr>
          <w:rFonts w:ascii="Arial" w:cs="Arial" w:eastAsia="Arial" w:hAnsi="Arial"/>
          <w:sz w:val="13"/>
          <w:szCs w:val="13"/>
          <w:b w:val="1"/>
          <w:bCs w:val="1"/>
          <w:color w:val="auto"/>
        </w:rPr>
        <w:t>June 30, 2023</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260" w:type="dxa"/>
            <w:vAlign w:val="bottom"/>
            <w:gridSpan w:val="2"/>
          </w:tcPr>
          <w:p>
            <w:pPr>
              <w:spacing w:after="0"/>
              <w:rPr>
                <w:sz w:val="20"/>
                <w:szCs w:val="20"/>
                <w:color w:val="auto"/>
              </w:rPr>
            </w:pPr>
            <w:r>
              <w:rPr>
                <w:rFonts w:ascii="Arial" w:cs="Arial" w:eastAsia="Arial" w:hAnsi="Arial"/>
                <w:sz w:val="15"/>
                <w:szCs w:val="15"/>
                <w:b w:val="1"/>
                <w:bCs w:val="1"/>
                <w:color w:val="auto"/>
              </w:rPr>
              <w:t>Delinquency status:</w:t>
            </w:r>
          </w:p>
        </w:tc>
        <w:tc>
          <w:tcPr>
            <w:tcW w:w="1900" w:type="dxa"/>
            <w:vAlign w:val="bottom"/>
            <w:tcBorders>
              <w:top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2C6937"/>
            </w:tcBorders>
          </w:tcPr>
          <w:p>
            <w:pPr>
              <w:spacing w:after="0"/>
              <w:rPr>
                <w:sz w:val="19"/>
                <w:szCs w:val="19"/>
                <w:color w:val="auto"/>
              </w:rPr>
            </w:pPr>
          </w:p>
        </w:tc>
        <w:tc>
          <w:tcPr>
            <w:tcW w:w="100" w:type="dxa"/>
            <w:vAlign w:val="bottom"/>
            <w:tcBorders>
              <w:top w:val="single" w:sz="8" w:color="2C6937"/>
            </w:tcBorders>
          </w:tcPr>
          <w:p>
            <w:pPr>
              <w:spacing w:after="0"/>
              <w:rPr>
                <w:sz w:val="19"/>
                <w:szCs w:val="19"/>
                <w:color w:val="auto"/>
              </w:rPr>
            </w:pPr>
          </w:p>
        </w:tc>
        <w:tc>
          <w:tcPr>
            <w:tcW w:w="1180" w:type="dxa"/>
            <w:vAlign w:val="bottom"/>
            <w:tcBorders>
              <w:top w:val="single" w:sz="8" w:color="2C6937"/>
            </w:tcBorders>
          </w:tcPr>
          <w:p>
            <w:pPr>
              <w:spacing w:after="0"/>
              <w:rPr>
                <w:sz w:val="19"/>
                <w:szCs w:val="19"/>
                <w:color w:val="auto"/>
              </w:rPr>
            </w:pPr>
          </w:p>
        </w:tc>
        <w:tc>
          <w:tcPr>
            <w:tcW w:w="640" w:type="dxa"/>
            <w:vAlign w:val="bottom"/>
            <w:tcBorders>
              <w:top w:val="single" w:sz="8" w:color="2C6937"/>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2C6937"/>
            </w:tcBorders>
          </w:tcPr>
          <w:p>
            <w:pPr>
              <w:spacing w:after="0"/>
              <w:rPr>
                <w:sz w:val="19"/>
                <w:szCs w:val="19"/>
                <w:color w:val="auto"/>
              </w:rPr>
            </w:pPr>
          </w:p>
        </w:tc>
        <w:tc>
          <w:tcPr>
            <w:tcW w:w="1140" w:type="dxa"/>
            <w:vAlign w:val="bottom"/>
            <w:tcBorders>
              <w:top w:val="single" w:sz="8" w:color="2C6937"/>
            </w:tcBorders>
          </w:tcPr>
          <w:p>
            <w:pPr>
              <w:spacing w:after="0"/>
              <w:rPr>
                <w:sz w:val="19"/>
                <w:szCs w:val="19"/>
                <w:color w:val="auto"/>
              </w:rPr>
            </w:pPr>
          </w:p>
        </w:tc>
        <w:tc>
          <w:tcPr>
            <w:tcW w:w="720" w:type="dxa"/>
            <w:vAlign w:val="bottom"/>
            <w:tcBorders>
              <w:top w:val="single" w:sz="8" w:color="2C6937"/>
            </w:tcBorders>
          </w:tcPr>
          <w:p>
            <w:pPr>
              <w:spacing w:after="0"/>
              <w:rPr>
                <w:sz w:val="19"/>
                <w:szCs w:val="19"/>
                <w:color w:val="auto"/>
              </w:rPr>
            </w:pPr>
          </w:p>
        </w:tc>
        <w:tc>
          <w:tcPr>
            <w:tcW w:w="40" w:type="dxa"/>
            <w:vAlign w:val="bottom"/>
            <w:tcBorders>
              <w:top w:val="single" w:sz="8" w:color="2C6937"/>
            </w:tcBorders>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240" w:type="dxa"/>
            <w:vAlign w:val="bottom"/>
          </w:tcPr>
          <w:p>
            <w:pPr>
              <w:ind w:left="140"/>
              <w:spacing w:after="0"/>
              <w:rPr>
                <w:sz w:val="20"/>
                <w:szCs w:val="20"/>
                <w:color w:val="auto"/>
              </w:rPr>
            </w:pPr>
            <w:r>
              <w:rPr>
                <w:rFonts w:ascii="Arial" w:cs="Arial" w:eastAsia="Arial" w:hAnsi="Arial"/>
                <w:sz w:val="15"/>
                <w:szCs w:val="15"/>
                <w:color w:val="auto"/>
              </w:rPr>
              <w:t>30 to 59 days delinquent</w:t>
            </w:r>
          </w:p>
        </w:tc>
        <w:tc>
          <w:tcPr>
            <w:tcW w:w="1900" w:type="dxa"/>
            <w:vAlign w:val="bottom"/>
          </w:tcPr>
          <w:p>
            <w:pPr>
              <w:jc w:val="right"/>
              <w:spacing w:after="0"/>
              <w:rPr>
                <w:sz w:val="20"/>
                <w:szCs w:val="20"/>
                <w:color w:val="auto"/>
              </w:rPr>
            </w:pPr>
            <w:r>
              <w:rPr>
                <w:rFonts w:ascii="Arial" w:cs="Arial" w:eastAsia="Arial" w:hAnsi="Arial"/>
                <w:sz w:val="15"/>
                <w:szCs w:val="15"/>
                <w:b w:val="1"/>
                <w:bCs w:val="1"/>
                <w:color w:val="auto"/>
              </w:rPr>
              <w:t>1.07 %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ind w:left="140"/>
              <w:spacing w:after="0"/>
              <w:rPr>
                <w:sz w:val="20"/>
                <w:szCs w:val="20"/>
                <w:color w:val="auto"/>
              </w:rPr>
            </w:pPr>
            <w:r>
              <w:rPr>
                <w:rFonts w:ascii="Arial" w:cs="Arial" w:eastAsia="Arial" w:hAnsi="Arial"/>
                <w:sz w:val="15"/>
                <w:szCs w:val="15"/>
                <w:color w:val="auto"/>
              </w:rPr>
              <w:t>1.06 %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0.84 %</w:t>
            </w:r>
          </w:p>
        </w:tc>
      </w:tr>
      <w:tr>
        <w:trPr>
          <w:trHeight w:val="232"/>
        </w:trPr>
        <w:tc>
          <w:tcPr>
            <w:tcW w:w="20" w:type="dxa"/>
            <w:vAlign w:val="bottom"/>
          </w:tcPr>
          <w:p>
            <w:pPr>
              <w:spacing w:after="0"/>
              <w:rPr>
                <w:sz w:val="20"/>
                <w:szCs w:val="20"/>
                <w:color w:val="auto"/>
              </w:rPr>
            </w:pPr>
          </w:p>
        </w:tc>
        <w:tc>
          <w:tcPr>
            <w:tcW w:w="5240" w:type="dxa"/>
            <w:vAlign w:val="bottom"/>
          </w:tcPr>
          <w:p>
            <w:pPr>
              <w:ind w:left="140"/>
              <w:spacing w:after="0"/>
              <w:rPr>
                <w:sz w:val="20"/>
                <w:szCs w:val="20"/>
                <w:color w:val="auto"/>
              </w:rPr>
            </w:pPr>
            <w:r>
              <w:rPr>
                <w:rFonts w:ascii="Arial" w:cs="Arial" w:eastAsia="Arial" w:hAnsi="Arial"/>
                <w:sz w:val="15"/>
                <w:szCs w:val="15"/>
                <w:color w:val="auto"/>
              </w:rPr>
              <w:t>60 to 89 days delinquent</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5"/>
                <w:szCs w:val="15"/>
                <w:color w:val="auto"/>
              </w:rPr>
              <w:t>0.26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jc w:val="right"/>
              <w:ind w:right="83"/>
              <w:spacing w:after="0"/>
              <w:rPr>
                <w:sz w:val="20"/>
                <w:szCs w:val="20"/>
                <w:color w:val="auto"/>
              </w:rPr>
            </w:pPr>
            <w:r>
              <w:rPr>
                <w:rFonts w:ascii="Arial" w:cs="Arial" w:eastAsia="Arial" w:hAnsi="Arial"/>
                <w:sz w:val="15"/>
                <w:szCs w:val="15"/>
                <w:color w:val="auto"/>
              </w:rPr>
              <w:t>0.21</w:t>
            </w:r>
          </w:p>
        </w:tc>
        <w:tc>
          <w:tcPr>
            <w:tcW w:w="4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5240" w:type="dxa"/>
            <w:vAlign w:val="bottom"/>
          </w:tcPr>
          <w:p>
            <w:pPr>
              <w:ind w:left="140"/>
              <w:spacing w:after="0"/>
              <w:rPr>
                <w:sz w:val="20"/>
                <w:szCs w:val="20"/>
                <w:color w:val="auto"/>
              </w:rPr>
            </w:pPr>
            <w:r>
              <w:rPr>
                <w:rFonts w:ascii="Arial" w:cs="Arial" w:eastAsia="Arial" w:hAnsi="Arial"/>
                <w:sz w:val="15"/>
                <w:szCs w:val="15"/>
                <w:color w:val="auto"/>
              </w:rPr>
              <w:t>Seriously delinquent (“SDQ”):</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0.48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5"/>
                <w:szCs w:val="15"/>
                <w:color w:val="auto"/>
              </w:rPr>
              <w:t>0.55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jc w:val="right"/>
              <w:ind w:right="83"/>
              <w:spacing w:after="0"/>
              <w:rPr>
                <w:sz w:val="20"/>
                <w:szCs w:val="20"/>
                <w:color w:val="auto"/>
              </w:rPr>
            </w:pPr>
            <w:r>
              <w:rPr>
                <w:rFonts w:ascii="Arial" w:cs="Arial" w:eastAsia="Arial" w:hAnsi="Arial"/>
                <w:sz w:val="15"/>
                <w:szCs w:val="15"/>
                <w:color w:val="auto"/>
              </w:rPr>
              <w:t>0.55</w:t>
            </w:r>
          </w:p>
        </w:tc>
        <w:tc>
          <w:tcPr>
            <w:tcW w:w="40" w:type="dxa"/>
            <w:vAlign w:val="bottom"/>
          </w:tcPr>
          <w:p>
            <w:pPr>
              <w:spacing w:after="0"/>
              <w:rPr>
                <w:sz w:val="20"/>
                <w:szCs w:val="20"/>
                <w:color w:val="auto"/>
              </w:rPr>
            </w:pPr>
          </w:p>
        </w:tc>
      </w:tr>
      <w:tr>
        <w:trPr>
          <w:trHeight w:val="201"/>
        </w:trPr>
        <w:tc>
          <w:tcPr>
            <w:tcW w:w="20" w:type="dxa"/>
            <w:vAlign w:val="bottom"/>
          </w:tcPr>
          <w:p>
            <w:pPr>
              <w:spacing w:after="0"/>
              <w:rPr>
                <w:sz w:val="17"/>
                <w:szCs w:val="17"/>
                <w:color w:val="auto"/>
              </w:rPr>
            </w:pPr>
          </w:p>
        </w:tc>
        <w:tc>
          <w:tcPr>
            <w:tcW w:w="5240" w:type="dxa"/>
            <w:vAlign w:val="bottom"/>
          </w:tcPr>
          <w:p>
            <w:pPr>
              <w:ind w:left="280"/>
              <w:spacing w:after="0"/>
              <w:rPr>
                <w:sz w:val="20"/>
                <w:szCs w:val="20"/>
                <w:color w:val="auto"/>
              </w:rPr>
            </w:pPr>
            <w:r>
              <w:rPr>
                <w:rFonts w:ascii="Arial" w:cs="Arial" w:eastAsia="Arial" w:hAnsi="Arial"/>
                <w:sz w:val="15"/>
                <w:szCs w:val="15"/>
                <w:color w:val="auto"/>
              </w:rPr>
              <w:t>Percentage of SDQ loans that have been delinquent for more than</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240" w:type="dxa"/>
            <w:vAlign w:val="bottom"/>
          </w:tcPr>
          <w:p>
            <w:pPr>
              <w:ind w:left="440"/>
              <w:spacing w:after="0"/>
              <w:rPr>
                <w:sz w:val="20"/>
                <w:szCs w:val="20"/>
                <w:color w:val="auto"/>
              </w:rPr>
            </w:pPr>
            <w:r>
              <w:rPr>
                <w:rFonts w:ascii="Arial" w:cs="Arial" w:eastAsia="Arial" w:hAnsi="Arial"/>
                <w:sz w:val="15"/>
                <w:szCs w:val="15"/>
                <w:color w:val="auto"/>
              </w:rPr>
              <w:t>180 days</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jc w:val="center"/>
              <w:ind w:left="3"/>
              <w:spacing w:after="0"/>
              <w:rPr>
                <w:sz w:val="20"/>
                <w:szCs w:val="20"/>
                <w:color w:val="auto"/>
              </w:rPr>
            </w:pPr>
            <w:r>
              <w:rPr>
                <w:rFonts w:ascii="Arial" w:cs="Arial" w:eastAsia="Arial" w:hAnsi="Arial"/>
                <w:sz w:val="15"/>
                <w:szCs w:val="15"/>
                <w:color w:val="auto"/>
                <w:w w:val="95"/>
              </w:rPr>
              <w:t>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ind w:right="83"/>
              <w:spacing w:after="0"/>
              <w:rPr>
                <w:sz w:val="20"/>
                <w:szCs w:val="20"/>
                <w:color w:val="auto"/>
              </w:rPr>
            </w:pPr>
            <w:r>
              <w:rPr>
                <w:rFonts w:ascii="Arial" w:cs="Arial" w:eastAsia="Arial" w:hAnsi="Arial"/>
                <w:sz w:val="15"/>
                <w:szCs w:val="15"/>
                <w:color w:val="auto"/>
              </w:rPr>
              <w:t>54</w:t>
            </w:r>
          </w:p>
        </w:tc>
        <w:tc>
          <w:tcPr>
            <w:tcW w:w="4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5240" w:type="dxa"/>
            <w:vAlign w:val="bottom"/>
          </w:tcPr>
          <w:p>
            <w:pPr>
              <w:ind w:left="280"/>
              <w:spacing w:after="0"/>
              <w:rPr>
                <w:sz w:val="20"/>
                <w:szCs w:val="20"/>
                <w:color w:val="auto"/>
              </w:rPr>
            </w:pPr>
            <w:r>
              <w:rPr>
                <w:rFonts w:ascii="Arial" w:cs="Arial" w:eastAsia="Arial" w:hAnsi="Arial"/>
                <w:sz w:val="15"/>
                <w:szCs w:val="15"/>
                <w:color w:val="auto"/>
              </w:rPr>
              <w:t>Percentage of SDQ loans that have been delinquent for more than two</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240" w:type="dxa"/>
            <w:vAlign w:val="bottom"/>
          </w:tcPr>
          <w:p>
            <w:pPr>
              <w:ind w:left="440"/>
              <w:spacing w:after="0"/>
              <w:rPr>
                <w:sz w:val="20"/>
                <w:szCs w:val="20"/>
                <w:color w:val="auto"/>
              </w:rPr>
            </w:pPr>
            <w:r>
              <w:rPr>
                <w:rFonts w:ascii="Arial" w:cs="Arial" w:eastAsia="Arial" w:hAnsi="Arial"/>
                <w:sz w:val="15"/>
                <w:szCs w:val="15"/>
                <w:color w:val="auto"/>
              </w:rPr>
              <w:t>years</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jc w:val="center"/>
              <w:ind w:left="3"/>
              <w:spacing w:after="0"/>
              <w:rPr>
                <w:sz w:val="20"/>
                <w:szCs w:val="20"/>
                <w:color w:val="auto"/>
              </w:rPr>
            </w:pPr>
            <w:r>
              <w:rPr>
                <w:rFonts w:ascii="Arial" w:cs="Arial" w:eastAsia="Arial" w:hAnsi="Arial"/>
                <w:sz w:val="15"/>
                <w:szCs w:val="15"/>
                <w:color w:val="auto"/>
                <w:w w:val="95"/>
              </w:rPr>
              <w:t>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ind w:right="83"/>
              <w:spacing w:after="0"/>
              <w:rPr>
                <w:sz w:val="20"/>
                <w:szCs w:val="20"/>
                <w:color w:val="auto"/>
              </w:rPr>
            </w:pPr>
            <w:r>
              <w:rPr>
                <w:rFonts w:ascii="Arial" w:cs="Arial" w:eastAsia="Arial" w:hAnsi="Arial"/>
                <w:sz w:val="15"/>
                <w:szCs w:val="15"/>
                <w:color w:val="auto"/>
              </w:rPr>
              <w:t>15</w:t>
            </w:r>
          </w:p>
        </w:tc>
        <w:tc>
          <w:tcPr>
            <w:tcW w:w="40" w:type="dxa"/>
            <w:vAlign w:val="bottom"/>
          </w:tcPr>
          <w:p>
            <w:pPr>
              <w:spacing w:after="0"/>
              <w:rPr>
                <w:sz w:val="19"/>
                <w:szCs w:val="19"/>
                <w:color w:val="auto"/>
              </w:rPr>
            </w:pPr>
          </w:p>
        </w:tc>
      </w:tr>
      <w:tr>
        <w:trPr>
          <w:trHeight w:val="31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Borders>
              <w:bottom w:val="single" w:sz="8" w:color="2C6937"/>
            </w:tcBorders>
            <w:gridSpan w:val="6"/>
          </w:tcPr>
          <w:p>
            <w:pPr>
              <w:ind w:left="760"/>
              <w:spacing w:after="0"/>
              <w:rPr>
                <w:sz w:val="20"/>
                <w:szCs w:val="20"/>
                <w:color w:val="auto"/>
              </w:rPr>
            </w:pPr>
            <w:r>
              <w:rPr>
                <w:rFonts w:ascii="Arial" w:cs="Arial" w:eastAsia="Arial" w:hAnsi="Arial"/>
                <w:sz w:val="14"/>
                <w:szCs w:val="14"/>
                <w:b w:val="1"/>
                <w:bCs w:val="1"/>
                <w:color w:val="auto"/>
                <w:w w:val="98"/>
              </w:rPr>
              <w:t>For the Six Months Ended June 30,</w:t>
            </w:r>
          </w:p>
        </w:tc>
        <w:tc>
          <w:tcPr>
            <w:tcW w:w="720" w:type="dxa"/>
            <w:vAlign w:val="bottom"/>
            <w:tcBorders>
              <w:bottom w:val="single" w:sz="8" w:color="2C6937"/>
            </w:tcBorders>
          </w:tcPr>
          <w:p>
            <w:pPr>
              <w:spacing w:after="0"/>
              <w:rPr>
                <w:sz w:val="24"/>
                <w:szCs w:val="24"/>
                <w:color w:val="auto"/>
              </w:rPr>
            </w:pPr>
          </w:p>
        </w:tc>
        <w:tc>
          <w:tcPr>
            <w:tcW w:w="4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3300" w:type="dxa"/>
            <w:vAlign w:val="bottom"/>
            <w:gridSpan w:val="5"/>
          </w:tcPr>
          <w:p>
            <w:pPr>
              <w:ind w:left="2900"/>
              <w:spacing w:after="0"/>
              <w:rPr>
                <w:sz w:val="20"/>
                <w:szCs w:val="20"/>
                <w:color w:val="auto"/>
              </w:rPr>
            </w:pPr>
            <w:r>
              <w:rPr>
                <w:rFonts w:ascii="Arial" w:cs="Arial" w:eastAsia="Arial" w:hAnsi="Arial"/>
                <w:sz w:val="14"/>
                <w:szCs w:val="14"/>
                <w:b w:val="1"/>
                <w:bCs w:val="1"/>
                <w:color w:val="auto"/>
              </w:rPr>
              <w:t>2024</w:t>
            </w:r>
          </w:p>
        </w:tc>
        <w:tc>
          <w:tcPr>
            <w:tcW w:w="1900" w:type="dxa"/>
            <w:vAlign w:val="bottom"/>
            <w:gridSpan w:val="5"/>
          </w:tcPr>
          <w:p>
            <w:pPr>
              <w:ind w:left="1540"/>
              <w:spacing w:after="0"/>
              <w:rPr>
                <w:sz w:val="20"/>
                <w:szCs w:val="20"/>
                <w:color w:val="auto"/>
              </w:rPr>
            </w:pPr>
            <w:r>
              <w:rPr>
                <w:rFonts w:ascii="Arial" w:cs="Arial" w:eastAsia="Arial" w:hAnsi="Arial"/>
                <w:sz w:val="14"/>
                <w:szCs w:val="14"/>
                <w:b w:val="1"/>
                <w:bCs w:val="1"/>
                <w:color w:val="auto"/>
              </w:rPr>
              <w:t>2023</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7"/>
        </w:trPr>
        <w:tc>
          <w:tcPr>
            <w:tcW w:w="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5"/>
                <w:szCs w:val="15"/>
                <w:b w:val="1"/>
                <w:bCs w:val="1"/>
                <w:color w:val="auto"/>
              </w:rPr>
              <w:t>Single-family SDQ loans (number of loans):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2C6937"/>
            </w:tcBorders>
          </w:tcPr>
          <w:p>
            <w:pPr>
              <w:spacing w:after="0"/>
              <w:rPr>
                <w:sz w:val="18"/>
                <w:szCs w:val="18"/>
                <w:color w:val="auto"/>
              </w:rPr>
            </w:pPr>
          </w:p>
        </w:tc>
        <w:tc>
          <w:tcPr>
            <w:tcW w:w="640" w:type="dxa"/>
            <w:vAlign w:val="bottom"/>
            <w:tcBorders>
              <w:top w:val="single" w:sz="8" w:color="2C6937"/>
            </w:tcBorders>
          </w:tcPr>
          <w:p>
            <w:pPr>
              <w:spacing w:after="0"/>
              <w:rPr>
                <w:sz w:val="18"/>
                <w:szCs w:val="18"/>
                <w:color w:val="auto"/>
              </w:rPr>
            </w:pPr>
          </w:p>
        </w:tc>
        <w:tc>
          <w:tcPr>
            <w:tcW w:w="40" w:type="dxa"/>
            <w:vAlign w:val="bottom"/>
            <w:tcBorders>
              <w:top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Borders>
              <w:top w:val="single" w:sz="8" w:color="2C6937"/>
            </w:tcBorders>
          </w:tcPr>
          <w:p>
            <w:pPr>
              <w:spacing w:after="0"/>
              <w:rPr>
                <w:sz w:val="18"/>
                <w:szCs w:val="18"/>
                <w:color w:val="auto"/>
              </w:rPr>
            </w:pPr>
          </w:p>
        </w:tc>
        <w:tc>
          <w:tcPr>
            <w:tcW w:w="720" w:type="dxa"/>
            <w:vAlign w:val="bottom"/>
            <w:tcBorders>
              <w:top w:val="single" w:sz="8" w:color="2C6937"/>
            </w:tcBorders>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5240" w:type="dxa"/>
            <w:vAlign w:val="bottom"/>
          </w:tcPr>
          <w:p>
            <w:pPr>
              <w:ind w:left="180"/>
              <w:spacing w:after="0"/>
              <w:rPr>
                <w:sz w:val="20"/>
                <w:szCs w:val="20"/>
                <w:color w:val="auto"/>
              </w:rPr>
            </w:pPr>
            <w:r>
              <w:rPr>
                <w:rFonts w:ascii="Arial" w:cs="Arial" w:eastAsia="Arial" w:hAnsi="Arial"/>
                <w:sz w:val="15"/>
                <w:szCs w:val="15"/>
                <w:color w:val="auto"/>
              </w:rPr>
              <w:t>Beginning balance</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ind w:left="140"/>
              <w:spacing w:after="0"/>
              <w:rPr>
                <w:sz w:val="20"/>
                <w:szCs w:val="20"/>
                <w:color w:val="auto"/>
              </w:rPr>
            </w:pPr>
            <w:r>
              <w:rPr>
                <w:rFonts w:ascii="Arial" w:cs="Arial" w:eastAsia="Arial" w:hAnsi="Arial"/>
                <w:sz w:val="15"/>
                <w:szCs w:val="15"/>
                <w:b w:val="1"/>
                <w:bCs w:val="1"/>
                <w:color w:val="auto"/>
              </w:rPr>
              <w:t>96,479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114,960</w:t>
            </w:r>
          </w:p>
        </w:tc>
        <w:tc>
          <w:tcPr>
            <w:tcW w:w="40" w:type="dxa"/>
            <w:vAlign w:val="bottom"/>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5240" w:type="dxa"/>
            <w:vAlign w:val="bottom"/>
          </w:tcPr>
          <w:p>
            <w:pPr>
              <w:ind w:left="320"/>
              <w:spacing w:after="0"/>
              <w:rPr>
                <w:sz w:val="20"/>
                <w:szCs w:val="20"/>
                <w:color w:val="auto"/>
              </w:rPr>
            </w:pPr>
            <w:r>
              <w:rPr>
                <w:rFonts w:ascii="Arial" w:cs="Arial" w:eastAsia="Arial" w:hAnsi="Arial"/>
                <w:sz w:val="15"/>
                <w:szCs w:val="15"/>
                <w:color w:val="auto"/>
              </w:rPr>
              <w:t>Additions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5"/>
                <w:szCs w:val="15"/>
                <w:b w:val="1"/>
                <w:bCs w:val="1"/>
                <w:color w:val="auto"/>
              </w:rPr>
              <w:t>82,285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81,064</w:t>
            </w:r>
          </w:p>
        </w:tc>
        <w:tc>
          <w:tcPr>
            <w:tcW w:w="4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5"/>
                <w:szCs w:val="15"/>
                <w:color w:val="auto"/>
              </w:rPr>
              <w:t>Removals: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3"/>
        </w:trPr>
        <w:tc>
          <w:tcPr>
            <w:tcW w:w="20" w:type="dxa"/>
            <w:vAlign w:val="bottom"/>
          </w:tcPr>
          <w:p>
            <w:pPr>
              <w:spacing w:after="0"/>
              <w:rPr>
                <w:sz w:val="21"/>
                <w:szCs w:val="21"/>
                <w:color w:val="auto"/>
              </w:rPr>
            </w:pPr>
          </w:p>
        </w:tc>
        <w:tc>
          <w:tcPr>
            <w:tcW w:w="5240" w:type="dxa"/>
            <w:vAlign w:val="bottom"/>
          </w:tcPr>
          <w:p>
            <w:pPr>
              <w:ind w:left="480"/>
              <w:spacing w:after="0"/>
              <w:rPr>
                <w:sz w:val="20"/>
                <w:szCs w:val="20"/>
                <w:color w:val="auto"/>
              </w:rPr>
            </w:pPr>
            <w:r>
              <w:rPr>
                <w:rFonts w:ascii="Arial" w:cs="Arial" w:eastAsia="Arial" w:hAnsi="Arial"/>
                <w:sz w:val="15"/>
                <w:szCs w:val="15"/>
                <w:color w:val="auto"/>
              </w:rPr>
              <w:t>Modifications and other loan workouts</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gridSpan w:val="2"/>
          </w:tcPr>
          <w:p>
            <w:pPr>
              <w:jc w:val="center"/>
              <w:spacing w:after="0"/>
              <w:rPr>
                <w:sz w:val="20"/>
                <w:szCs w:val="20"/>
                <w:color w:val="auto"/>
              </w:rPr>
            </w:pPr>
            <w:r>
              <w:rPr>
                <w:rFonts w:ascii="Arial" w:cs="Arial" w:eastAsia="Arial" w:hAnsi="Arial"/>
                <w:sz w:val="15"/>
                <w:szCs w:val="15"/>
                <w:b w:val="1"/>
                <w:bCs w:val="1"/>
                <w:color w:val="auto"/>
              </w:rPr>
              <w:t>(39,739)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(43,047)</w:t>
            </w:r>
          </w:p>
        </w:tc>
        <w:tc>
          <w:tcPr>
            <w:tcW w:w="40" w:type="dxa"/>
            <w:vAlign w:val="bottom"/>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5240" w:type="dxa"/>
            <w:vAlign w:val="bottom"/>
          </w:tcPr>
          <w:p>
            <w:pPr>
              <w:ind w:left="480"/>
              <w:spacing w:after="0"/>
              <w:rPr>
                <w:sz w:val="20"/>
                <w:szCs w:val="20"/>
                <w:color w:val="auto"/>
              </w:rPr>
            </w:pPr>
            <w:r>
              <w:rPr>
                <w:rFonts w:ascii="Arial" w:cs="Arial" w:eastAsia="Arial" w:hAnsi="Arial"/>
                <w:sz w:val="15"/>
                <w:szCs w:val="15"/>
                <w:color w:val="auto"/>
              </w:rPr>
              <w:t>Liquidations and sales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gridSpan w:val="2"/>
          </w:tcPr>
          <w:p>
            <w:pPr>
              <w:jc w:val="center"/>
              <w:spacing w:after="0"/>
              <w:rPr>
                <w:sz w:val="20"/>
                <w:szCs w:val="20"/>
                <w:color w:val="auto"/>
              </w:rPr>
            </w:pPr>
            <w:r>
              <w:rPr>
                <w:rFonts w:ascii="Arial" w:cs="Arial" w:eastAsia="Arial" w:hAnsi="Arial"/>
                <w:sz w:val="15"/>
                <w:szCs w:val="15"/>
                <w:b w:val="1"/>
                <w:bCs w:val="1"/>
                <w:color w:val="auto"/>
              </w:rPr>
              <w:t>(15,231)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(15,506)</w:t>
            </w:r>
          </w:p>
        </w:tc>
        <w:tc>
          <w:tcPr>
            <w:tcW w:w="40" w:type="dxa"/>
            <w:vAlign w:val="bottom"/>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524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Cured or less than 90 days delinquent</w:t>
            </w:r>
          </w:p>
        </w:tc>
        <w:tc>
          <w:tcPr>
            <w:tcW w:w="190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(39,492)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(41,671)</w:t>
            </w:r>
          </w:p>
        </w:tc>
        <w:tc>
          <w:tcPr>
            <w:tcW w:w="4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24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 removals</w:t>
            </w:r>
          </w:p>
        </w:tc>
        <w:tc>
          <w:tcPr>
            <w:tcW w:w="190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(94,462)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(100,224)</w:t>
            </w:r>
          </w:p>
        </w:tc>
        <w:tc>
          <w:tcPr>
            <w:tcW w:w="4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2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190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ind w:left="140"/>
              <w:spacing w:after="0"/>
              <w:rPr>
                <w:sz w:val="20"/>
                <w:szCs w:val="20"/>
                <w:color w:val="auto"/>
              </w:rPr>
            </w:pPr>
            <w:r>
              <w:rPr>
                <w:rFonts w:ascii="Arial" w:cs="Arial" w:eastAsia="Arial" w:hAnsi="Arial"/>
                <w:sz w:val="15"/>
                <w:szCs w:val="15"/>
                <w:b w:val="1"/>
                <w:bCs w:val="1"/>
                <w:color w:val="auto"/>
              </w:rPr>
              <w:t>84,302</w:t>
            </w:r>
          </w:p>
        </w:tc>
        <w:tc>
          <w:tcPr>
            <w:tcW w:w="40" w:type="dxa"/>
            <w:vAlign w:val="bottom"/>
            <w:tcBorders>
              <w:bottom w:val="single" w:sz="8" w:color="2C6937"/>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95,800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bottom w:val="single" w:sz="8" w:color="2C6937"/>
            </w:tcBorders>
          </w:tcPr>
          <w:p>
            <w:pPr>
              <w:spacing w:after="0" w:line="20" w:lineRule="exact"/>
              <w:rPr>
                <w:sz w:val="1"/>
                <w:szCs w:val="1"/>
                <w:color w:val="auto"/>
              </w:rPr>
            </w:pPr>
          </w:p>
        </w:tc>
        <w:tc>
          <w:tcPr>
            <w:tcW w:w="190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1" w:lineRule="exact"/>
        <w:rPr>
          <w:sz w:val="20"/>
          <w:szCs w:val="20"/>
          <w:color w:val="auto"/>
        </w:rPr>
      </w:pPr>
    </w:p>
    <w:p>
      <w:pPr>
        <w:ind w:left="20" w:right="20"/>
        <w:spacing w:after="0" w:line="266" w:lineRule="auto"/>
        <w:rPr>
          <w:sz w:val="20"/>
          <w:szCs w:val="20"/>
          <w:color w:val="auto"/>
        </w:rPr>
      </w:pPr>
      <w:r>
        <w:rPr>
          <w:rFonts w:ascii="Arial" w:cs="Arial" w:eastAsia="Arial" w:hAnsi="Arial"/>
          <w:sz w:val="16"/>
          <w:szCs w:val="16"/>
          <w:color w:val="auto"/>
        </w:rPr>
        <w:t>Our single-family serious delinquency rate as of June 30, 2024 remained near historically low levels. Given our expectation of slower economic growth, we expect the credit performance of the loans in our single-family guaranty book of business may decline compared to recent performance, which could lead to higher delinquencies or an increase in our single-family serious delinquency rate. For information about factors that affect our single-family serious delinquency rate, see “MD&amp;A—Single-Family Business—Single-Family Mortgage Credit Risk Management—Single-Family Problem Loan Management” in our 2023 Form 10-K.</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48" w:right="339" w:bottom="1440" w:gutter="0" w:footer="0" w:header="0"/>
        </w:sectPr>
      </w:pPr>
    </w:p>
    <w:bookmarkStart w:id="33" w:name="page34"/>
    <w:bookmarkEnd w:id="33"/>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17145</wp:posOffset>
            </wp:positionV>
            <wp:extent cx="69996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20" w:right="20"/>
        <w:spacing w:after="0" w:line="272" w:lineRule="auto"/>
        <w:rPr>
          <w:sz w:val="20"/>
          <w:szCs w:val="20"/>
          <w:color w:val="auto"/>
        </w:rPr>
      </w:pPr>
      <w:r>
        <w:rPr>
          <w:rFonts w:ascii="Arial" w:cs="Arial" w:eastAsia="Arial" w:hAnsi="Arial"/>
          <w:sz w:val="16"/>
          <w:szCs w:val="16"/>
          <w:color w:val="auto"/>
        </w:rPr>
        <w:t>The table below displays the serious delinquency rates for, and the percentage of our seriously delinquent single-family conventional loans represented by, the specified loan categories. Percentage of book amounts represent the unpaid principal balance of loans for each category divided by the unpaid principal balance of our total single-family conventional guaranty book of business. The reported categories are not mutually exclusive.</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Single-Family Conventional Seriously Delinquent Loan Concentration Analysis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1480" w:type="dxa"/>
            <w:vAlign w:val="bottom"/>
            <w:tcBorders>
              <w:top w:val="single" w:sz="8" w:color="2C6937"/>
            </w:tcBorders>
          </w:tcPr>
          <w:p>
            <w:pPr>
              <w:spacing w:after="0"/>
              <w:rPr>
                <w:sz w:val="18"/>
                <w:szCs w:val="18"/>
                <w:color w:val="auto"/>
              </w:rPr>
            </w:pPr>
          </w:p>
        </w:tc>
        <w:tc>
          <w:tcPr>
            <w:tcW w:w="104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96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9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60" w:type="dxa"/>
            <w:vAlign w:val="bottom"/>
            <w:tcBorders>
              <w:top w:val="single" w:sz="8" w:color="2C6937"/>
              <w:bottom w:val="single" w:sz="8" w:color="2C6937"/>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As of</w:t>
            </w:r>
          </w:p>
        </w:tc>
        <w:tc>
          <w:tcPr>
            <w:tcW w:w="100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0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00" w:type="dxa"/>
            <w:vAlign w:val="bottom"/>
            <w:tcBorders>
              <w:top w:val="single" w:sz="8" w:color="2C6937"/>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480" w:type="dxa"/>
            <w:vAlign w:val="bottom"/>
          </w:tcPr>
          <w:p>
            <w:pPr>
              <w:spacing w:after="0"/>
              <w:rPr>
                <w:sz w:val="16"/>
                <w:szCs w:val="16"/>
                <w:color w:val="auto"/>
              </w:rPr>
            </w:pPr>
          </w:p>
        </w:tc>
        <w:tc>
          <w:tcPr>
            <w:tcW w:w="104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gridSpan w:val="3"/>
          </w:tcPr>
          <w:p>
            <w:pPr>
              <w:ind w:left="100"/>
              <w:spacing w:after="0"/>
              <w:rPr>
                <w:sz w:val="20"/>
                <w:szCs w:val="20"/>
                <w:color w:val="auto"/>
              </w:rPr>
            </w:pPr>
            <w:r>
              <w:rPr>
                <w:rFonts w:ascii="Arial" w:cs="Arial" w:eastAsia="Arial" w:hAnsi="Arial"/>
                <w:sz w:val="14"/>
                <w:szCs w:val="14"/>
                <w:b w:val="1"/>
                <w:bCs w:val="1"/>
                <w:color w:val="auto"/>
              </w:rPr>
              <w:t>June 30, 2024</w:t>
            </w:r>
          </w:p>
        </w:tc>
        <w:tc>
          <w:tcPr>
            <w:tcW w:w="960" w:type="dxa"/>
            <w:vAlign w:val="bottom"/>
            <w:tcBorders>
              <w:bottom w:val="single" w:sz="8" w:color="2C6937"/>
            </w:tcBorders>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Borders>
              <w:bottom w:val="single" w:sz="8" w:color="2C6937"/>
            </w:tcBorders>
            <w:gridSpan w:val="4"/>
          </w:tcPr>
          <w:p>
            <w:pPr>
              <w:ind w:left="900"/>
              <w:spacing w:after="0"/>
              <w:rPr>
                <w:sz w:val="20"/>
                <w:szCs w:val="20"/>
                <w:color w:val="auto"/>
              </w:rPr>
            </w:pPr>
            <w:r>
              <w:rPr>
                <w:rFonts w:ascii="Arial" w:cs="Arial" w:eastAsia="Arial" w:hAnsi="Arial"/>
                <w:sz w:val="14"/>
                <w:szCs w:val="14"/>
                <w:b w:val="1"/>
                <w:bCs w:val="1"/>
                <w:color w:val="auto"/>
                <w:w w:val="96"/>
              </w:rPr>
              <w:t>December 31, 2023</w:t>
            </w:r>
          </w:p>
        </w:tc>
        <w:tc>
          <w:tcPr>
            <w:tcW w:w="10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June 30, 2023</w:t>
            </w:r>
          </w:p>
        </w:tc>
        <w:tc>
          <w:tcPr>
            <w:tcW w:w="10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Percentage of</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Percentage of</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Percentage of</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Seriously</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Seriously</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Seriously</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480" w:type="dxa"/>
            <w:vAlign w:val="bottom"/>
          </w:tcPr>
          <w:p>
            <w:pPr>
              <w:spacing w:after="0"/>
              <w:rPr>
                <w:sz w:val="10"/>
                <w:szCs w:val="10"/>
                <w:color w:val="auto"/>
              </w:rPr>
            </w:pPr>
          </w:p>
        </w:tc>
        <w:tc>
          <w:tcPr>
            <w:tcW w:w="1040" w:type="dxa"/>
            <w:vAlign w:val="bottom"/>
          </w:tcPr>
          <w:p>
            <w:pPr>
              <w:jc w:val="right"/>
              <w:ind w:right="61"/>
              <w:spacing w:after="0"/>
              <w:rPr>
                <w:sz w:val="20"/>
                <w:szCs w:val="20"/>
                <w:color w:val="auto"/>
              </w:rPr>
            </w:pPr>
            <w:r>
              <w:rPr>
                <w:rFonts w:ascii="Arial" w:cs="Arial" w:eastAsia="Arial" w:hAnsi="Arial"/>
                <w:sz w:val="10"/>
                <w:szCs w:val="10"/>
                <w:b w:val="1"/>
                <w:bCs w:val="1"/>
                <w:color w:val="auto"/>
              </w:rPr>
              <w:t>Percentage of</w:t>
            </w:r>
          </w:p>
        </w:tc>
        <w:tc>
          <w:tcPr>
            <w:tcW w:w="120" w:type="dxa"/>
            <w:vAlign w:val="bottom"/>
          </w:tcPr>
          <w:p>
            <w:pPr>
              <w:spacing w:after="0"/>
              <w:rPr>
                <w:sz w:val="10"/>
                <w:szCs w:val="1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Delinquent</w:t>
            </w:r>
          </w:p>
        </w:tc>
        <w:tc>
          <w:tcPr>
            <w:tcW w:w="1080" w:type="dxa"/>
            <w:vAlign w:val="bottom"/>
            <w:gridSpan w:val="2"/>
          </w:tcPr>
          <w:p>
            <w:pPr>
              <w:ind w:left="300"/>
              <w:spacing w:after="0"/>
              <w:rPr>
                <w:sz w:val="20"/>
                <w:szCs w:val="20"/>
                <w:color w:val="auto"/>
              </w:rPr>
            </w:pPr>
            <w:r>
              <w:rPr>
                <w:rFonts w:ascii="Arial" w:cs="Arial" w:eastAsia="Arial" w:hAnsi="Arial"/>
                <w:sz w:val="10"/>
                <w:szCs w:val="10"/>
                <w:b w:val="1"/>
                <w:bCs w:val="1"/>
                <w:color w:val="auto"/>
              </w:rPr>
              <w:t>Serious</w:t>
            </w:r>
          </w:p>
        </w:tc>
        <w:tc>
          <w:tcPr>
            <w:tcW w:w="10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Percentage of</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1100" w:type="dxa"/>
            <w:vAlign w:val="bottom"/>
            <w:gridSpan w:val="2"/>
          </w:tcPr>
          <w:p>
            <w:pPr>
              <w:ind w:left="320"/>
              <w:spacing w:after="0"/>
              <w:rPr>
                <w:sz w:val="20"/>
                <w:szCs w:val="20"/>
                <w:color w:val="auto"/>
              </w:rPr>
            </w:pPr>
            <w:r>
              <w:rPr>
                <w:rFonts w:ascii="Arial" w:cs="Arial" w:eastAsia="Arial" w:hAnsi="Arial"/>
                <w:sz w:val="10"/>
                <w:szCs w:val="10"/>
                <w:b w:val="1"/>
                <w:bCs w:val="1"/>
                <w:color w:val="auto"/>
              </w:rPr>
              <w:t>Serious</w:t>
            </w:r>
          </w:p>
        </w:tc>
        <w:tc>
          <w:tcPr>
            <w:tcW w:w="1000" w:type="dxa"/>
            <w:vAlign w:val="bottom"/>
          </w:tcPr>
          <w:p>
            <w:pPr>
              <w:jc w:val="right"/>
              <w:ind w:right="101"/>
              <w:spacing w:after="0"/>
              <w:rPr>
                <w:sz w:val="20"/>
                <w:szCs w:val="20"/>
                <w:color w:val="auto"/>
              </w:rPr>
            </w:pPr>
            <w:r>
              <w:rPr>
                <w:rFonts w:ascii="Arial" w:cs="Arial" w:eastAsia="Arial" w:hAnsi="Arial"/>
                <w:sz w:val="10"/>
                <w:szCs w:val="10"/>
                <w:b w:val="1"/>
                <w:bCs w:val="1"/>
                <w:color w:val="auto"/>
              </w:rPr>
              <w:t>Percentage of</w:t>
            </w:r>
          </w:p>
        </w:tc>
        <w:tc>
          <w:tcPr>
            <w:tcW w:w="100" w:type="dxa"/>
            <w:vAlign w:val="bottom"/>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1000" w:type="dxa"/>
            <w:vAlign w:val="bottom"/>
          </w:tcPr>
          <w:p>
            <w:pPr>
              <w:ind w:left="300"/>
              <w:spacing w:after="0"/>
              <w:rPr>
                <w:sz w:val="20"/>
                <w:szCs w:val="20"/>
                <w:color w:val="auto"/>
              </w:rPr>
            </w:pPr>
            <w:r>
              <w:rPr>
                <w:rFonts w:ascii="Arial" w:cs="Arial" w:eastAsia="Arial" w:hAnsi="Arial"/>
                <w:sz w:val="10"/>
                <w:szCs w:val="10"/>
                <w:b w:val="1"/>
                <w:bCs w:val="1"/>
                <w:color w:val="auto"/>
              </w:rPr>
              <w:t>Serious</w:t>
            </w:r>
          </w:p>
        </w:tc>
        <w:tc>
          <w:tcPr>
            <w:tcW w:w="0" w:type="dxa"/>
            <w:vAlign w:val="bottom"/>
          </w:tcPr>
          <w:p>
            <w:pPr>
              <w:spacing w:after="0"/>
              <w:rPr>
                <w:sz w:val="1"/>
                <w:szCs w:val="1"/>
                <w:color w:val="auto"/>
              </w:rPr>
            </w:pPr>
          </w:p>
        </w:tc>
      </w:tr>
      <w:tr>
        <w:trPr>
          <w:trHeight w:val="141"/>
        </w:trPr>
        <w:tc>
          <w:tcPr>
            <w:tcW w:w="14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Book Outstanding</w:t>
            </w:r>
          </w:p>
        </w:tc>
        <w:tc>
          <w:tcPr>
            <w:tcW w:w="120" w:type="dxa"/>
            <w:vAlign w:val="bottom"/>
          </w:tcPr>
          <w:p>
            <w:pPr>
              <w:spacing w:after="0"/>
              <w:rPr>
                <w:sz w:val="12"/>
                <w:szCs w:val="12"/>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Loans</w:t>
            </w:r>
            <w:r>
              <w:rPr>
                <w:rFonts w:ascii="Arial" w:cs="Arial" w:eastAsia="Arial" w:hAnsi="Arial"/>
                <w:sz w:val="6"/>
                <w:szCs w:val="6"/>
                <w:b w:val="1"/>
                <w:bCs w:val="1"/>
                <w:color w:val="auto"/>
              </w:rPr>
              <w:t>(1)</w:t>
            </w:r>
          </w:p>
        </w:tc>
        <w:tc>
          <w:tcPr>
            <w:tcW w:w="1080" w:type="dxa"/>
            <w:vAlign w:val="bottom"/>
            <w:gridSpan w:val="2"/>
          </w:tcPr>
          <w:p>
            <w:pPr>
              <w:ind w:left="40"/>
              <w:spacing w:after="0"/>
              <w:rPr>
                <w:sz w:val="20"/>
                <w:szCs w:val="20"/>
                <w:color w:val="auto"/>
              </w:rPr>
            </w:pPr>
            <w:r>
              <w:rPr>
                <w:rFonts w:ascii="Arial" w:cs="Arial" w:eastAsia="Arial" w:hAnsi="Arial"/>
                <w:sz w:val="10"/>
                <w:szCs w:val="10"/>
                <w:b w:val="1"/>
                <w:bCs w:val="1"/>
                <w:color w:val="auto"/>
              </w:rPr>
              <w:t>Delinquency Rate</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Book Outstanding</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Loans</w:t>
            </w:r>
            <w:r>
              <w:rPr>
                <w:rFonts w:ascii="Arial" w:cs="Arial" w:eastAsia="Arial" w:hAnsi="Arial"/>
                <w:sz w:val="6"/>
                <w:szCs w:val="6"/>
                <w:b w:val="1"/>
                <w:bCs w:val="1"/>
                <w:color w:val="auto"/>
              </w:rPr>
              <w:t>(1)</w:t>
            </w:r>
          </w:p>
        </w:tc>
        <w:tc>
          <w:tcPr>
            <w:tcW w:w="1100" w:type="dxa"/>
            <w:vAlign w:val="bottom"/>
            <w:gridSpan w:val="2"/>
          </w:tcPr>
          <w:p>
            <w:pPr>
              <w:ind w:left="60"/>
              <w:spacing w:after="0"/>
              <w:rPr>
                <w:sz w:val="20"/>
                <w:szCs w:val="20"/>
                <w:color w:val="auto"/>
              </w:rPr>
            </w:pPr>
            <w:r>
              <w:rPr>
                <w:rFonts w:ascii="Arial" w:cs="Arial" w:eastAsia="Arial" w:hAnsi="Arial"/>
                <w:sz w:val="10"/>
                <w:szCs w:val="10"/>
                <w:b w:val="1"/>
                <w:bCs w:val="1"/>
                <w:color w:val="auto"/>
              </w:rPr>
              <w:t>Delinquency Rate</w:t>
            </w:r>
          </w:p>
        </w:tc>
        <w:tc>
          <w:tcPr>
            <w:tcW w:w="1000" w:type="dxa"/>
            <w:vAlign w:val="bottom"/>
          </w:tcPr>
          <w:p>
            <w:pPr>
              <w:jc w:val="right"/>
              <w:ind w:right="1"/>
              <w:spacing w:after="0"/>
              <w:rPr>
                <w:sz w:val="20"/>
                <w:szCs w:val="20"/>
                <w:color w:val="auto"/>
              </w:rPr>
            </w:pPr>
            <w:r>
              <w:rPr>
                <w:rFonts w:ascii="Arial" w:cs="Arial" w:eastAsia="Arial" w:hAnsi="Arial"/>
                <w:sz w:val="10"/>
                <w:szCs w:val="10"/>
                <w:b w:val="1"/>
                <w:bCs w:val="1"/>
                <w:color w:val="auto"/>
              </w:rPr>
              <w:t>Book Outstanding</w:t>
            </w:r>
          </w:p>
        </w:tc>
        <w:tc>
          <w:tcPr>
            <w:tcW w:w="1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Loans</w:t>
            </w:r>
            <w:r>
              <w:rPr>
                <w:rFonts w:ascii="Arial" w:cs="Arial" w:eastAsia="Arial" w:hAnsi="Arial"/>
                <w:sz w:val="6"/>
                <w:szCs w:val="6"/>
                <w:b w:val="1"/>
                <w:bCs w:val="1"/>
                <w:color w:val="auto"/>
              </w:rPr>
              <w:t>(1)</w:t>
            </w:r>
          </w:p>
        </w:tc>
        <w:tc>
          <w:tcPr>
            <w:tcW w:w="1000" w:type="dxa"/>
            <w:vAlign w:val="bottom"/>
          </w:tcPr>
          <w:p>
            <w:pPr>
              <w:ind w:left="60"/>
              <w:spacing w:after="0"/>
              <w:rPr>
                <w:sz w:val="20"/>
                <w:szCs w:val="20"/>
                <w:color w:val="auto"/>
              </w:rPr>
            </w:pPr>
            <w:r>
              <w:rPr>
                <w:rFonts w:ascii="Arial" w:cs="Arial" w:eastAsia="Arial" w:hAnsi="Arial"/>
                <w:sz w:val="10"/>
                <w:szCs w:val="10"/>
                <w:b w:val="1"/>
                <w:bCs w:val="1"/>
                <w:color w:val="auto"/>
              </w:rPr>
              <w:t>Delinquency Rate</w:t>
            </w:r>
          </w:p>
        </w:tc>
        <w:tc>
          <w:tcPr>
            <w:tcW w:w="0" w:type="dxa"/>
            <w:vAlign w:val="bottom"/>
          </w:tcPr>
          <w:p>
            <w:pPr>
              <w:spacing w:after="0"/>
              <w:rPr>
                <w:sz w:val="1"/>
                <w:szCs w:val="1"/>
                <w:color w:val="auto"/>
              </w:rPr>
            </w:pPr>
          </w:p>
        </w:tc>
      </w:tr>
      <w:tr>
        <w:trPr>
          <w:trHeight w:val="26"/>
        </w:trPr>
        <w:tc>
          <w:tcPr>
            <w:tcW w:w="1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States:</w:t>
            </w:r>
          </w:p>
        </w:tc>
        <w:tc>
          <w:tcPr>
            <w:tcW w:w="10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4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2C6937"/>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480" w:type="dxa"/>
            <w:vAlign w:val="bottom"/>
          </w:tcPr>
          <w:p>
            <w:pPr>
              <w:ind w:left="120"/>
              <w:spacing w:after="0"/>
              <w:rPr>
                <w:sz w:val="20"/>
                <w:szCs w:val="20"/>
                <w:color w:val="auto"/>
              </w:rPr>
            </w:pPr>
            <w:r>
              <w:rPr>
                <w:rFonts w:ascii="Arial" w:cs="Arial" w:eastAsia="Arial" w:hAnsi="Arial"/>
                <w:sz w:val="12"/>
                <w:szCs w:val="12"/>
                <w:color w:val="auto"/>
              </w:rPr>
              <w:t>California</w:t>
            </w: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19 %</w:t>
            </w:r>
          </w:p>
        </w:tc>
        <w:tc>
          <w:tcPr>
            <w:tcW w:w="1060" w:type="dxa"/>
            <w:vAlign w:val="bottom"/>
            <w:gridSpan w:val="2"/>
          </w:tcPr>
          <w:p>
            <w:pPr>
              <w:jc w:val="right"/>
              <w:spacing w:after="0"/>
              <w:rPr>
                <w:sz w:val="20"/>
                <w:szCs w:val="20"/>
                <w:color w:val="auto"/>
              </w:rPr>
            </w:pPr>
            <w:r>
              <w:rPr>
                <w:rFonts w:ascii="Arial" w:cs="Arial" w:eastAsia="Arial" w:hAnsi="Arial"/>
                <w:sz w:val="12"/>
                <w:szCs w:val="12"/>
                <w:b w:val="1"/>
                <w:bCs w:val="1"/>
                <w:color w:val="auto"/>
              </w:rPr>
              <w:t>10 %</w:t>
            </w:r>
          </w:p>
        </w:tc>
        <w:tc>
          <w:tcPr>
            <w:tcW w:w="120" w:type="dxa"/>
            <w:vAlign w:val="bottom"/>
          </w:tcPr>
          <w:p>
            <w:pPr>
              <w:spacing w:after="0"/>
              <w:rPr>
                <w:sz w:val="15"/>
                <w:szCs w:val="15"/>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w w:val="96"/>
              </w:rPr>
              <w:t>0.37 %</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19 %</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10 %</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0.42 %</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19 %</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10 %</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0.41 %</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Texas</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7</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9</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0.57</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0.64</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7</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Florida</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6</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9</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0.63</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0.73</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6</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0.71</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New York</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5</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7</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0.79</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0.92</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0.96</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Illinois</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3</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0.65</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0.70</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3</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0.71</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All other states</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60</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60</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0.45</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0.52</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60</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0.51</w:t>
            </w:r>
          </w:p>
        </w:tc>
        <w:tc>
          <w:tcPr>
            <w:tcW w:w="0" w:type="dxa"/>
            <w:vAlign w:val="bottom"/>
          </w:tcPr>
          <w:p>
            <w:pPr>
              <w:spacing w:after="0"/>
              <w:rPr>
                <w:sz w:val="1"/>
                <w:szCs w:val="1"/>
                <w:color w:val="auto"/>
              </w:rPr>
            </w:pPr>
          </w:p>
        </w:tc>
      </w:tr>
      <w:tr>
        <w:trPr>
          <w:trHeight w:val="180"/>
        </w:trPr>
        <w:tc>
          <w:tcPr>
            <w:tcW w:w="1480" w:type="dxa"/>
            <w:vAlign w:val="bottom"/>
          </w:tcPr>
          <w:p>
            <w:pPr>
              <w:ind w:left="20"/>
              <w:spacing w:after="0"/>
              <w:rPr>
                <w:sz w:val="20"/>
                <w:szCs w:val="20"/>
                <w:color w:val="auto"/>
              </w:rPr>
            </w:pPr>
            <w:r>
              <w:rPr>
                <w:rFonts w:ascii="Arial" w:cs="Arial" w:eastAsia="Arial" w:hAnsi="Arial"/>
                <w:sz w:val="12"/>
                <w:szCs w:val="12"/>
                <w:b w:val="1"/>
                <w:bCs w:val="1"/>
                <w:color w:val="auto"/>
              </w:rPr>
              <w:t>Vintages: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2C6937"/>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480" w:type="dxa"/>
            <w:vAlign w:val="bottom"/>
          </w:tcPr>
          <w:p>
            <w:pPr>
              <w:ind w:left="120"/>
              <w:spacing w:after="0"/>
              <w:rPr>
                <w:sz w:val="20"/>
                <w:szCs w:val="20"/>
                <w:color w:val="auto"/>
              </w:rPr>
            </w:pPr>
            <w:r>
              <w:rPr>
                <w:rFonts w:ascii="Arial" w:cs="Arial" w:eastAsia="Arial" w:hAnsi="Arial"/>
                <w:sz w:val="12"/>
                <w:szCs w:val="12"/>
                <w:color w:val="auto"/>
              </w:rPr>
              <w:t>2008 and prior</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17</w:t>
            </w:r>
          </w:p>
        </w:tc>
        <w:tc>
          <w:tcPr>
            <w:tcW w:w="120" w:type="dxa"/>
            <w:vAlign w:val="bottom"/>
          </w:tcPr>
          <w:p>
            <w:pPr>
              <w:spacing w:after="0"/>
              <w:rPr>
                <w:sz w:val="15"/>
                <w:szCs w:val="15"/>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1.76</w:t>
            </w:r>
          </w:p>
        </w:tc>
        <w:tc>
          <w:tcPr>
            <w:tcW w:w="120" w:type="dxa"/>
            <w:vAlign w:val="bottom"/>
          </w:tcPr>
          <w:p>
            <w:pPr>
              <w:spacing w:after="0"/>
              <w:rPr>
                <w:sz w:val="15"/>
                <w:szCs w:val="15"/>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2.07</w:t>
            </w:r>
          </w:p>
        </w:tc>
        <w:tc>
          <w:tcPr>
            <w:tcW w:w="10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2</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2.62</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2009-2024</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98</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83</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0.42</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98</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0.47</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98</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0.45</w:t>
            </w:r>
          </w:p>
        </w:tc>
        <w:tc>
          <w:tcPr>
            <w:tcW w:w="0" w:type="dxa"/>
            <w:vAlign w:val="bottom"/>
          </w:tcPr>
          <w:p>
            <w:pPr>
              <w:spacing w:after="0"/>
              <w:rPr>
                <w:sz w:val="1"/>
                <w:szCs w:val="1"/>
                <w:color w:val="auto"/>
              </w:rPr>
            </w:pPr>
          </w:p>
        </w:tc>
      </w:tr>
      <w:tr>
        <w:trPr>
          <w:trHeight w:val="157"/>
        </w:trPr>
        <w:tc>
          <w:tcPr>
            <w:tcW w:w="1480" w:type="dxa"/>
            <w:vAlign w:val="bottom"/>
          </w:tcPr>
          <w:p>
            <w:pPr>
              <w:ind w:left="20"/>
              <w:spacing w:after="0"/>
              <w:rPr>
                <w:sz w:val="20"/>
                <w:szCs w:val="20"/>
                <w:color w:val="auto"/>
              </w:rPr>
            </w:pPr>
            <w:r>
              <w:rPr>
                <w:rFonts w:ascii="Arial" w:cs="Arial" w:eastAsia="Arial" w:hAnsi="Arial"/>
                <w:sz w:val="12"/>
                <w:szCs w:val="12"/>
                <w:b w:val="1"/>
                <w:bCs w:val="1"/>
                <w:color w:val="auto"/>
              </w:rPr>
              <w:t>Estimated mark-to-</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480" w:type="dxa"/>
            <w:vAlign w:val="bottom"/>
          </w:tcPr>
          <w:p>
            <w:pPr>
              <w:ind w:left="120"/>
              <w:spacing w:after="0"/>
              <w:rPr>
                <w:sz w:val="20"/>
                <w:szCs w:val="20"/>
                <w:color w:val="auto"/>
              </w:rPr>
            </w:pPr>
            <w:r>
              <w:rPr>
                <w:rFonts w:ascii="Arial" w:cs="Arial" w:eastAsia="Arial" w:hAnsi="Arial"/>
                <w:sz w:val="12"/>
                <w:szCs w:val="12"/>
                <w:b w:val="1"/>
                <w:bCs w:val="1"/>
                <w:color w:val="auto"/>
              </w:rPr>
              <w:t>market LTV ratio:</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2C6937"/>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480" w:type="dxa"/>
            <w:vAlign w:val="bottom"/>
          </w:tcPr>
          <w:p>
            <w:pPr>
              <w:ind w:left="120"/>
              <w:spacing w:after="0"/>
              <w:rPr>
                <w:sz w:val="20"/>
                <w:szCs w:val="20"/>
                <w:color w:val="auto"/>
              </w:rPr>
            </w:pPr>
            <w:r>
              <w:rPr>
                <w:rFonts w:ascii="Arial" w:cs="Arial" w:eastAsia="Arial" w:hAnsi="Arial"/>
                <w:sz w:val="12"/>
                <w:szCs w:val="12"/>
                <w:color w:val="auto"/>
              </w:rPr>
              <w:t>&lt;= 60%</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70</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71</w:t>
            </w:r>
          </w:p>
        </w:tc>
        <w:tc>
          <w:tcPr>
            <w:tcW w:w="120" w:type="dxa"/>
            <w:vAlign w:val="bottom"/>
          </w:tcPr>
          <w:p>
            <w:pPr>
              <w:spacing w:after="0"/>
              <w:rPr>
                <w:sz w:val="15"/>
                <w:szCs w:val="15"/>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0.43</w:t>
            </w:r>
          </w:p>
        </w:tc>
        <w:tc>
          <w:tcPr>
            <w:tcW w:w="120" w:type="dxa"/>
            <w:vAlign w:val="bottom"/>
          </w:tcPr>
          <w:p>
            <w:pPr>
              <w:spacing w:after="0"/>
              <w:rPr>
                <w:sz w:val="15"/>
                <w:szCs w:val="15"/>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0.49</w:t>
            </w:r>
          </w:p>
        </w:tc>
        <w:tc>
          <w:tcPr>
            <w:tcW w:w="10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68</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60.01% to 70%</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13</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14</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0.75</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0.80</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15</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0.72</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70.01% to 80%</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9</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0.68</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0.77</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10</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0.67</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80.01% to 90%</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6</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0.77</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0.81</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0.68</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90.01% to 100%</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0.57</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0.59</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2</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0.54</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Greater than 100%</w:t>
            </w:r>
          </w:p>
        </w:tc>
        <w:tc>
          <w:tcPr>
            <w:tcW w:w="1040" w:type="dxa"/>
            <w:vAlign w:val="bottom"/>
          </w:tcPr>
          <w:p>
            <w:pPr>
              <w:jc w:val="right"/>
              <w:ind w:right="61"/>
              <w:spacing w:after="0"/>
              <w:rPr>
                <w:sz w:val="20"/>
                <w:szCs w:val="20"/>
                <w:color w:val="auto"/>
              </w:rPr>
            </w:pPr>
            <w:r>
              <w:rPr>
                <w:rFonts w:ascii="Arial" w:cs="Arial" w:eastAsia="Arial" w:hAnsi="Arial"/>
                <w:sz w:val="12"/>
                <w:szCs w:val="12"/>
                <w:b w:val="1"/>
                <w:bCs w:val="1"/>
                <w:color w:val="auto"/>
              </w:rPr>
              <w:t>*</w:t>
            </w:r>
          </w:p>
        </w:tc>
        <w:tc>
          <w:tcPr>
            <w:tcW w:w="1060" w:type="dxa"/>
            <w:vAlign w:val="bottom"/>
            <w:gridSpan w:val="2"/>
          </w:tcPr>
          <w:p>
            <w:pPr>
              <w:jc w:val="right"/>
              <w:ind w:right="68"/>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3.34</w:t>
            </w:r>
          </w:p>
        </w:tc>
        <w:tc>
          <w:tcPr>
            <w:tcW w:w="12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2.05</w:t>
            </w:r>
          </w:p>
        </w:tc>
        <w:tc>
          <w:tcPr>
            <w:tcW w:w="100" w:type="dxa"/>
            <w:vAlign w:val="bottom"/>
          </w:tcPr>
          <w:p>
            <w:pPr>
              <w:spacing w:after="0"/>
              <w:rPr>
                <w:sz w:val="16"/>
                <w:szCs w:val="16"/>
                <w:color w:val="auto"/>
              </w:rPr>
            </w:pP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6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4.00</w:t>
            </w:r>
          </w:p>
        </w:tc>
        <w:tc>
          <w:tcPr>
            <w:tcW w:w="0" w:type="dxa"/>
            <w:vAlign w:val="bottom"/>
          </w:tcPr>
          <w:p>
            <w:pPr>
              <w:spacing w:after="0"/>
              <w:rPr>
                <w:sz w:val="1"/>
                <w:szCs w:val="1"/>
                <w:color w:val="auto"/>
              </w:rPr>
            </w:pPr>
          </w:p>
        </w:tc>
      </w:tr>
      <w:tr>
        <w:trPr>
          <w:trHeight w:val="201"/>
        </w:trPr>
        <w:tc>
          <w:tcPr>
            <w:tcW w:w="1480" w:type="dxa"/>
            <w:vAlign w:val="bottom"/>
            <w:tcBorders>
              <w:bottom w:val="single" w:sz="8" w:color="2C6937"/>
            </w:tcBorders>
          </w:tcPr>
          <w:p>
            <w:pPr>
              <w:ind w:left="20"/>
              <w:spacing w:after="0"/>
              <w:rPr>
                <w:sz w:val="20"/>
                <w:szCs w:val="20"/>
                <w:color w:val="auto"/>
              </w:rPr>
            </w:pPr>
            <w:r>
              <w:rPr>
                <w:rFonts w:ascii="Arial" w:cs="Arial" w:eastAsia="Arial" w:hAnsi="Arial"/>
                <w:sz w:val="12"/>
                <w:szCs w:val="12"/>
                <w:b w:val="1"/>
                <w:bCs w:val="1"/>
                <w:color w:val="auto"/>
              </w:rPr>
              <w:t>Credit enhanced:</w:t>
            </w:r>
            <w:r>
              <w:rPr>
                <w:rFonts w:ascii="Arial" w:cs="Arial" w:eastAsia="Arial" w:hAnsi="Arial"/>
                <w:sz w:val="15"/>
                <w:szCs w:val="15"/>
                <w:b w:val="1"/>
                <w:bCs w:val="1"/>
                <w:color w:val="auto"/>
                <w:vertAlign w:val="superscript"/>
              </w:rPr>
              <w:t>(2)</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480" w:type="dxa"/>
            <w:vAlign w:val="bottom"/>
          </w:tcPr>
          <w:p>
            <w:pPr>
              <w:ind w:left="120"/>
              <w:spacing w:after="0"/>
              <w:rPr>
                <w:sz w:val="20"/>
                <w:szCs w:val="20"/>
                <w:color w:val="auto"/>
              </w:rPr>
            </w:pPr>
            <w:r>
              <w:rPr>
                <w:rFonts w:ascii="Arial" w:cs="Arial" w:eastAsia="Arial" w:hAnsi="Arial"/>
                <w:sz w:val="12"/>
                <w:szCs w:val="12"/>
                <w:color w:val="auto"/>
              </w:rPr>
              <w:t>Primary MI &amp; other</w:t>
            </w:r>
            <w:r>
              <w:rPr>
                <w:rFonts w:ascii="Arial" w:cs="Arial" w:eastAsia="Arial" w:hAnsi="Arial"/>
                <w:sz w:val="15"/>
                <w:szCs w:val="15"/>
                <w:color w:val="auto"/>
                <w:vertAlign w:val="superscript"/>
              </w:rPr>
              <w:t>(3)</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21</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33</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0.97</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21</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201"/>
        </w:trPr>
        <w:tc>
          <w:tcPr>
            <w:tcW w:w="1480" w:type="dxa"/>
            <w:vAlign w:val="bottom"/>
          </w:tcPr>
          <w:p>
            <w:pPr>
              <w:ind w:left="120"/>
              <w:spacing w:after="0"/>
              <w:rPr>
                <w:sz w:val="20"/>
                <w:szCs w:val="20"/>
                <w:color w:val="auto"/>
              </w:rPr>
            </w:pPr>
            <w:r>
              <w:rPr>
                <w:rFonts w:ascii="Arial" w:cs="Arial" w:eastAsia="Arial" w:hAnsi="Arial"/>
                <w:sz w:val="12"/>
                <w:szCs w:val="12"/>
                <w:color w:val="auto"/>
              </w:rPr>
              <w:t>Credit risk transfer</w:t>
            </w:r>
            <w:r>
              <w:rPr>
                <w:rFonts w:ascii="Arial" w:cs="Arial" w:eastAsia="Arial" w:hAnsi="Arial"/>
                <w:sz w:val="15"/>
                <w:szCs w:val="15"/>
                <w:color w:val="auto"/>
                <w:vertAlign w:val="superscript"/>
              </w:rPr>
              <w:t>(4)</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37</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30</w:t>
            </w:r>
          </w:p>
        </w:tc>
        <w:tc>
          <w:tcPr>
            <w:tcW w:w="120" w:type="dxa"/>
            <w:vAlign w:val="bottom"/>
          </w:tcPr>
          <w:p>
            <w:pPr>
              <w:spacing w:after="0"/>
              <w:rPr>
                <w:sz w:val="17"/>
                <w:szCs w:val="17"/>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0.47</w:t>
            </w:r>
          </w:p>
        </w:tc>
        <w:tc>
          <w:tcPr>
            <w:tcW w:w="120" w:type="dxa"/>
            <w:vAlign w:val="bottom"/>
          </w:tcPr>
          <w:p>
            <w:pPr>
              <w:spacing w:after="0"/>
              <w:rPr>
                <w:sz w:val="17"/>
                <w:szCs w:val="17"/>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7"/>
                <w:szCs w:val="17"/>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0.54</w:t>
            </w:r>
          </w:p>
        </w:tc>
        <w:tc>
          <w:tcPr>
            <w:tcW w:w="100" w:type="dxa"/>
            <w:vAlign w:val="bottom"/>
          </w:tcPr>
          <w:p>
            <w:pPr>
              <w:spacing w:after="0"/>
              <w:rPr>
                <w:sz w:val="17"/>
                <w:szCs w:val="17"/>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34</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7"/>
                <w:szCs w:val="17"/>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0.51</w:t>
            </w:r>
          </w:p>
        </w:tc>
        <w:tc>
          <w:tcPr>
            <w:tcW w:w="0" w:type="dxa"/>
            <w:vAlign w:val="bottom"/>
          </w:tcPr>
          <w:p>
            <w:pPr>
              <w:spacing w:after="0"/>
              <w:rPr>
                <w:sz w:val="1"/>
                <w:szCs w:val="1"/>
                <w:color w:val="auto"/>
              </w:rPr>
            </w:pPr>
          </w:p>
        </w:tc>
      </w:tr>
      <w:tr>
        <w:trPr>
          <w:trHeight w:val="178"/>
        </w:trPr>
        <w:tc>
          <w:tcPr>
            <w:tcW w:w="1480" w:type="dxa"/>
            <w:vAlign w:val="bottom"/>
          </w:tcPr>
          <w:p>
            <w:pPr>
              <w:ind w:left="120"/>
              <w:spacing w:after="0"/>
              <w:rPr>
                <w:sz w:val="20"/>
                <w:szCs w:val="20"/>
                <w:color w:val="auto"/>
              </w:rPr>
            </w:pPr>
            <w:r>
              <w:rPr>
                <w:rFonts w:ascii="Arial" w:cs="Arial" w:eastAsia="Arial" w:hAnsi="Arial"/>
                <w:sz w:val="12"/>
                <w:szCs w:val="12"/>
                <w:color w:val="auto"/>
              </w:rPr>
              <w:t>Non-credit enhanced</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53</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51</w:t>
            </w:r>
          </w:p>
        </w:tc>
        <w:tc>
          <w:tcPr>
            <w:tcW w:w="120" w:type="dxa"/>
            <w:vAlign w:val="bottom"/>
          </w:tcPr>
          <w:p>
            <w:pPr>
              <w:spacing w:after="0"/>
              <w:rPr>
                <w:sz w:val="15"/>
                <w:szCs w:val="15"/>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0.40</w:t>
            </w:r>
          </w:p>
        </w:tc>
        <w:tc>
          <w:tcPr>
            <w:tcW w:w="120" w:type="dxa"/>
            <w:vAlign w:val="bottom"/>
          </w:tcPr>
          <w:p>
            <w:pPr>
              <w:spacing w:after="0"/>
              <w:rPr>
                <w:sz w:val="15"/>
                <w:szCs w:val="15"/>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0.46</w:t>
            </w:r>
          </w:p>
        </w:tc>
        <w:tc>
          <w:tcPr>
            <w:tcW w:w="10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56</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0.47</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40" w:hanging="217"/>
        <w:spacing w:after="0"/>
        <w:tabs>
          <w:tab w:leader="none" w:pos="2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45" w:lineRule="exact"/>
        <w:rPr>
          <w:sz w:val="20"/>
          <w:szCs w:val="20"/>
          <w:color w:val="auto"/>
        </w:rPr>
      </w:pPr>
    </w:p>
    <w:p>
      <w:pPr>
        <w:ind w:left="260" w:right="320" w:hanging="237"/>
        <w:spacing w:after="0" w:line="226" w:lineRule="auto"/>
        <w:tabs>
          <w:tab w:leader="none" w:pos="253"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number of single-family loans that were seriously delinquent for each category divided by the total number of single-family conventional loans that were seriously delinquent.</w:t>
      </w:r>
    </w:p>
    <w:p>
      <w:pPr>
        <w:spacing w:after="0" w:line="27" w:lineRule="exact"/>
        <w:rPr>
          <w:rFonts w:ascii="Arial" w:cs="Arial" w:eastAsia="Arial" w:hAnsi="Arial"/>
          <w:sz w:val="18"/>
          <w:szCs w:val="18"/>
          <w:color w:val="auto"/>
          <w:vertAlign w:val="superscript"/>
        </w:rPr>
      </w:pPr>
    </w:p>
    <w:p>
      <w:pPr>
        <w:ind w:left="260" w:right="180" w:hanging="237"/>
        <w:spacing w:after="0" w:line="228" w:lineRule="auto"/>
        <w:tabs>
          <w:tab w:leader="none" w:pos="253"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The credit-enhanced categories are not mutually exclusive. A loan with primary mortgage insurance that is also covered by a credit risk transfer transaction will be included in both the “Primary MI &amp; other” category and the “Credit risk transfer” category. As a result, the “Credit enhanced” and “Non-credit enhanced” categories do not sum to 100%. The total percentage of our single-family conventional guaranty book of business with some form of credit enhancement as of June 30, 2024 was 47%.</w:t>
      </w:r>
    </w:p>
    <w:p>
      <w:pPr>
        <w:spacing w:after="0" w:line="26" w:lineRule="exact"/>
        <w:rPr>
          <w:rFonts w:ascii="Arial" w:cs="Arial" w:eastAsia="Arial" w:hAnsi="Arial"/>
          <w:sz w:val="18"/>
          <w:szCs w:val="18"/>
          <w:color w:val="auto"/>
          <w:vertAlign w:val="superscript"/>
        </w:rPr>
      </w:pPr>
    </w:p>
    <w:p>
      <w:pPr>
        <w:ind w:left="260" w:right="140" w:hanging="237"/>
        <w:spacing w:after="0" w:line="233" w:lineRule="auto"/>
        <w:tabs>
          <w:tab w:leader="none" w:pos="253"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Refers to loans included in an agreement used to reduce credit risk by requiring primary mortgage insurance, collateral, letters of credit, corporate guarantees, or other agreements to provide an entity with some assurance that it will be compensated to some degree in the event of a financial loss. Excludes loans covered by credit risk transfer transactions unless such loans are also covered by primary mortgage insurance.</w:t>
      </w:r>
    </w:p>
    <w:p>
      <w:pPr>
        <w:spacing w:after="0" w:line="27" w:lineRule="exact"/>
        <w:rPr>
          <w:rFonts w:ascii="Arial" w:cs="Arial" w:eastAsia="Arial" w:hAnsi="Arial"/>
          <w:sz w:val="18"/>
          <w:szCs w:val="18"/>
          <w:color w:val="auto"/>
          <w:vertAlign w:val="superscript"/>
        </w:rPr>
      </w:pPr>
    </w:p>
    <w:p>
      <w:pPr>
        <w:ind w:left="260" w:right="160" w:hanging="237"/>
        <w:spacing w:after="0" w:line="228" w:lineRule="auto"/>
        <w:tabs>
          <w:tab w:leader="none" w:pos="253"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Refers to loans included in reference pools for credit risk transfer transactions, including loans in these transactions that are also covered by primary mortgage insurance. For CAS and some lender risk-sharing transactions, this represents the outstanding unpaid principal balance of the underlying loans on the single-family mortgage credit book, not the outstanding reference pool, as of the specified date. Loans included in our credit risk transfer transactions have all been acquired since 2009.</w:t>
      </w:r>
    </w:p>
    <w:p>
      <w:pPr>
        <w:spacing w:after="0" w:line="90" w:lineRule="exact"/>
        <w:rPr>
          <w:sz w:val="20"/>
          <w:szCs w:val="20"/>
          <w:color w:val="auto"/>
        </w:rPr>
      </w:pPr>
    </w:p>
    <w:p>
      <w:pPr>
        <w:ind w:left="20"/>
        <w:spacing w:after="0"/>
        <w:rPr>
          <w:sz w:val="20"/>
          <w:szCs w:val="20"/>
          <w:color w:val="auto"/>
        </w:rPr>
      </w:pPr>
      <w:r>
        <w:rPr>
          <w:rFonts w:ascii="Georgia" w:cs="Georgia" w:eastAsia="Georgia" w:hAnsi="Georgia"/>
          <w:sz w:val="19"/>
          <w:szCs w:val="19"/>
          <w:i w:val="1"/>
          <w:iCs w:val="1"/>
          <w:color w:val="05314D"/>
        </w:rPr>
        <w:t>Forbearance Plans and Loan Workouts</w:t>
      </w:r>
    </w:p>
    <w:p>
      <w:pPr>
        <w:spacing w:after="0" w:line="106" w:lineRule="exact"/>
        <w:rPr>
          <w:sz w:val="20"/>
          <w:szCs w:val="20"/>
          <w:color w:val="auto"/>
        </w:rPr>
      </w:pPr>
    </w:p>
    <w:p>
      <w:pPr>
        <w:ind w:left="20" w:right="100"/>
        <w:spacing w:after="0" w:line="266" w:lineRule="auto"/>
        <w:rPr>
          <w:sz w:val="20"/>
          <w:szCs w:val="20"/>
          <w:color w:val="auto"/>
        </w:rPr>
      </w:pPr>
      <w:r>
        <w:rPr>
          <w:rFonts w:ascii="Arial" w:cs="Arial" w:eastAsia="Arial" w:hAnsi="Arial"/>
          <w:sz w:val="16"/>
          <w:szCs w:val="16"/>
          <w:color w:val="auto"/>
        </w:rPr>
        <w:t>As a part of our credit risk management efforts, we offer several types of loss mitigation options to help homeowners stay in their home or to otherwise avoid foreclosure. Loss mitigation options can consist of a forbearance plan or a loan workout. Our loan workouts reflect additional types of home retention solutions that help reinstate loans to current status, including repayment plans, payment deferrals, and loan modifications. Our loan workouts also include foreclosure alternatives, such as short sales and deeds-in-lieu of foreclosure.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31</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48" w:right="339" w:bottom="1440" w:gutter="0" w:footer="0" w:header="0"/>
        </w:sectPr>
      </w:pPr>
    </w:p>
    <w:bookmarkStart w:id="34" w:name="page35"/>
    <w:bookmarkEnd w:id="34"/>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As of June 30, 2024, the unpaid principal balance of single-family loans in forbearance was $5.2 billion, or 0.1% of our single-family conventional guaranty book of business, compared with $6.9 billion, or 0.2% of our single-family conventional guaranty book of business, as of December 31, 2023.</w:t>
      </w:r>
    </w:p>
    <w:p>
      <w:pPr>
        <w:spacing w:after="0" w:line="4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chart below displays the unpaid principal balance of our completed single-family loan workouts by type, as well as the number of loan workouts, for the first half of 2023 compared with the first half of 2024. This table does not include loans in an active forbearance arrangement, trial modifications, and repayment plans that have been initiated but not completed.</w:t>
      </w:r>
    </w:p>
    <w:p>
      <w:pPr>
        <w:spacing w:after="0" w:line="64"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Completed Loan Workout Activity</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7620</wp:posOffset>
            </wp:positionV>
            <wp:extent cx="5721985" cy="28651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21985" cy="286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hanging="217"/>
        <w:spacing w:after="0"/>
        <w:tabs>
          <w:tab w:leader="none" w:pos="2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There were approximately 18,300 loans and 16,300 loans in a trial modification period that was not yet complete as of June 30, 2024 and 2023, respectively.</w:t>
      </w:r>
    </w:p>
    <w:p>
      <w:pPr>
        <w:spacing w:after="0" w:line="37" w:lineRule="exact"/>
        <w:rPr>
          <w:rFonts w:ascii="Arial" w:cs="Arial" w:eastAsia="Arial" w:hAnsi="Arial"/>
          <w:sz w:val="18"/>
          <w:szCs w:val="18"/>
          <w:color w:val="auto"/>
          <w:vertAlign w:val="superscript"/>
        </w:rPr>
      </w:pPr>
    </w:p>
    <w:p>
      <w:pPr>
        <w:ind w:left="240" w:right="300" w:hanging="237"/>
        <w:spacing w:after="0" w:line="210" w:lineRule="auto"/>
        <w:tabs>
          <w:tab w:leader="none" w:pos="233"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Other was $370 million and $237 million for the first half of 2024 and the first half of 2023, respectively. Other includes repayment plans and foreclosure alternatives. Repayment plans reflect only those plans associated with loans that were 60 days or more delinquent.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32</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5" w:name="page36"/>
    <w:bookmarkEnd w:id="35"/>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REO Management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If a loan defaults, we may acquire the property through foreclosure or a deed-in-lieu of foreclosure. The table below displays our REO activity by region.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Regional REO acquisition trends generally follow a pattern that is similar to, but lags, that of regional delinquency trends.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REO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3120" w:type="dxa"/>
            <w:vAlign w:val="bottom"/>
            <w:tcBorders>
              <w:bottom w:val="single" w:sz="8" w:color="2C6937"/>
            </w:tcBorders>
            <w:gridSpan w:val="5"/>
          </w:tcPr>
          <w:p>
            <w:pPr>
              <w:jc w:val="right"/>
              <w:ind w:right="423"/>
              <w:spacing w:after="0"/>
              <w:rPr>
                <w:sz w:val="20"/>
                <w:szCs w:val="20"/>
                <w:color w:val="auto"/>
              </w:rPr>
            </w:pPr>
            <w:r>
              <w:rPr>
                <w:rFonts w:ascii="Arial" w:cs="Arial" w:eastAsia="Arial" w:hAnsi="Arial"/>
                <w:sz w:val="14"/>
                <w:szCs w:val="14"/>
                <w:b w:val="1"/>
                <w:bCs w:val="1"/>
                <w:color w:val="auto"/>
              </w:rPr>
              <w:t>For the Six Months Ended June 30,</w:t>
            </w:r>
          </w:p>
        </w:tc>
        <w:tc>
          <w:tcPr>
            <w:tcW w:w="260" w:type="dxa"/>
            <w:vAlign w:val="bottom"/>
            <w:tcBorders>
              <w:bottom w:val="single" w:sz="8" w:color="2C6937"/>
            </w:tcBorders>
          </w:tcPr>
          <w:p>
            <w:pPr>
              <w:spacing w:after="0"/>
              <w:rPr>
                <w:sz w:val="16"/>
                <w:szCs w:val="16"/>
                <w:color w:val="auto"/>
              </w:rPr>
            </w:pPr>
          </w:p>
        </w:tc>
      </w:tr>
      <w:tr>
        <w:trPr>
          <w:trHeight w:val="185"/>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jc w:val="right"/>
              <w:ind w:right="444"/>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jc w:val="right"/>
              <w:ind w:right="443"/>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2C6937"/>
            </w:tcBorders>
          </w:tcPr>
          <w:p>
            <w:pPr>
              <w:spacing w:after="0"/>
              <w:rPr>
                <w:sz w:val="16"/>
                <w:szCs w:val="16"/>
                <w:color w:val="auto"/>
              </w:rPr>
            </w:pPr>
          </w:p>
        </w:tc>
      </w:tr>
      <w:tr>
        <w:trPr>
          <w:trHeight w:val="207"/>
        </w:trPr>
        <w:tc>
          <w:tcPr>
            <w:tcW w:w="7420" w:type="dxa"/>
            <w:vAlign w:val="bottom"/>
            <w:gridSpan w:val="2"/>
          </w:tcPr>
          <w:p>
            <w:pPr>
              <w:ind w:left="20"/>
              <w:spacing w:after="0"/>
              <w:rPr>
                <w:sz w:val="20"/>
                <w:szCs w:val="20"/>
                <w:color w:val="auto"/>
              </w:rPr>
            </w:pPr>
            <w:r>
              <w:rPr>
                <w:rFonts w:ascii="Arial" w:cs="Arial" w:eastAsia="Arial" w:hAnsi="Arial"/>
                <w:sz w:val="15"/>
                <w:szCs w:val="15"/>
                <w:b w:val="1"/>
                <w:bCs w:val="1"/>
                <w:color w:val="auto"/>
              </w:rPr>
              <w:t>Single-family REO properties (number of properties):</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50"/>
        </w:trPr>
        <w:tc>
          <w:tcPr>
            <w:tcW w:w="7420" w:type="dxa"/>
            <w:vAlign w:val="bottom"/>
            <w:gridSpan w:val="2"/>
          </w:tcPr>
          <w:p>
            <w:pPr>
              <w:ind w:left="180"/>
              <w:spacing w:after="0"/>
              <w:rPr>
                <w:sz w:val="20"/>
                <w:szCs w:val="20"/>
                <w:color w:val="auto"/>
              </w:rPr>
            </w:pPr>
            <w:r>
              <w:rPr>
                <w:rFonts w:ascii="Arial" w:cs="Arial" w:eastAsia="Arial" w:hAnsi="Arial"/>
                <w:sz w:val="15"/>
                <w:szCs w:val="15"/>
                <w:color w:val="auto"/>
              </w:rPr>
              <w:t>Beginning of period inventory of single-family REO properties</w:t>
            </w:r>
            <w:r>
              <w:rPr>
                <w:rFonts w:ascii="Arial" w:cs="Arial" w:eastAsia="Arial" w:hAnsi="Arial"/>
                <w:sz w:val="20"/>
                <w:szCs w:val="20"/>
                <w:color w:val="auto"/>
                <w:vertAlign w:val="superscript"/>
              </w:rPr>
              <w:t>(1)</w:t>
            </w:r>
          </w:p>
        </w:tc>
        <w:tc>
          <w:tcPr>
            <w:tcW w:w="440" w:type="dxa"/>
            <w:vAlign w:val="bottom"/>
          </w:tcPr>
          <w:p>
            <w:pPr>
              <w:spacing w:after="0"/>
              <w:rPr>
                <w:sz w:val="21"/>
                <w:szCs w:val="21"/>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8,403</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8,779</w:t>
            </w:r>
          </w:p>
        </w:tc>
        <w:tc>
          <w:tcPr>
            <w:tcW w:w="260" w:type="dxa"/>
            <w:vAlign w:val="bottom"/>
          </w:tcPr>
          <w:p>
            <w:pPr>
              <w:spacing w:after="0"/>
              <w:rPr>
                <w:sz w:val="21"/>
                <w:szCs w:val="21"/>
                <w:color w:val="auto"/>
              </w:rPr>
            </w:pPr>
          </w:p>
        </w:tc>
      </w:tr>
      <w:tr>
        <w:trPr>
          <w:trHeight w:val="234"/>
        </w:trPr>
        <w:tc>
          <w:tcPr>
            <w:tcW w:w="7420" w:type="dxa"/>
            <w:vAlign w:val="bottom"/>
            <w:gridSpan w:val="2"/>
          </w:tcPr>
          <w:p>
            <w:pPr>
              <w:ind w:left="320"/>
              <w:spacing w:after="0"/>
              <w:rPr>
                <w:sz w:val="20"/>
                <w:szCs w:val="20"/>
                <w:color w:val="auto"/>
              </w:rPr>
            </w:pPr>
            <w:r>
              <w:rPr>
                <w:rFonts w:ascii="Arial" w:cs="Arial" w:eastAsia="Arial" w:hAnsi="Arial"/>
                <w:sz w:val="15"/>
                <w:szCs w:val="15"/>
                <w:b w:val="1"/>
                <w:bCs w:val="1"/>
                <w:color w:val="auto"/>
              </w:rPr>
              <w:t>Acquisitions by geographic area:</w:t>
            </w:r>
            <w:r>
              <w:rPr>
                <w:rFonts w:ascii="Arial" w:cs="Arial" w:eastAsia="Arial" w:hAnsi="Arial"/>
                <w:sz w:val="20"/>
                <w:szCs w:val="20"/>
                <w:b w:val="1"/>
                <w:bCs w:val="1"/>
                <w:color w:val="auto"/>
                <w:vertAlign w:val="superscript"/>
              </w:rPr>
              <w:t>(2)</w:t>
            </w: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25"/>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Midwest</w:t>
            </w:r>
          </w:p>
        </w:tc>
        <w:tc>
          <w:tcPr>
            <w:tcW w:w="440" w:type="dxa"/>
            <w:vAlign w:val="bottom"/>
          </w:tcPr>
          <w:p>
            <w:pPr>
              <w:spacing w:after="0"/>
              <w:rPr>
                <w:sz w:val="19"/>
                <w:szCs w:val="19"/>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505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624</w:t>
            </w:r>
          </w:p>
        </w:tc>
        <w:tc>
          <w:tcPr>
            <w:tcW w:w="260" w:type="dxa"/>
            <w:vAlign w:val="bottom"/>
          </w:tcPr>
          <w:p>
            <w:pPr>
              <w:spacing w:after="0"/>
              <w:rPr>
                <w:sz w:val="19"/>
                <w:szCs w:val="19"/>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Northeast</w:t>
            </w:r>
          </w:p>
        </w:tc>
        <w:tc>
          <w:tcPr>
            <w:tcW w:w="44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288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479</w:t>
            </w:r>
          </w:p>
        </w:tc>
        <w:tc>
          <w:tcPr>
            <w:tcW w:w="260" w:type="dxa"/>
            <w:vAlign w:val="bottom"/>
          </w:tcPr>
          <w:p>
            <w:pPr>
              <w:spacing w:after="0"/>
              <w:rPr>
                <w:sz w:val="20"/>
                <w:szCs w:val="20"/>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Southeast</w:t>
            </w:r>
          </w:p>
        </w:tc>
        <w:tc>
          <w:tcPr>
            <w:tcW w:w="44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379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524</w:t>
            </w:r>
          </w:p>
        </w:tc>
        <w:tc>
          <w:tcPr>
            <w:tcW w:w="260" w:type="dxa"/>
            <w:vAlign w:val="bottom"/>
          </w:tcPr>
          <w:p>
            <w:pPr>
              <w:spacing w:after="0"/>
              <w:rPr>
                <w:sz w:val="20"/>
                <w:szCs w:val="20"/>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Southwest</w:t>
            </w:r>
          </w:p>
        </w:tc>
        <w:tc>
          <w:tcPr>
            <w:tcW w:w="44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334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400</w:t>
            </w:r>
          </w:p>
        </w:tc>
        <w:tc>
          <w:tcPr>
            <w:tcW w:w="260" w:type="dxa"/>
            <w:vAlign w:val="bottom"/>
          </w:tcPr>
          <w:p>
            <w:pPr>
              <w:spacing w:after="0"/>
              <w:rPr>
                <w:sz w:val="20"/>
                <w:szCs w:val="20"/>
                <w:color w:val="auto"/>
              </w:rPr>
            </w:pPr>
          </w:p>
        </w:tc>
      </w:tr>
      <w:tr>
        <w:trPr>
          <w:trHeight w:val="226"/>
        </w:trPr>
        <w:tc>
          <w:tcPr>
            <w:tcW w:w="728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West</w:t>
            </w:r>
          </w:p>
        </w:tc>
        <w:tc>
          <w:tcPr>
            <w:tcW w:w="14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167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190</w:t>
            </w:r>
          </w:p>
        </w:tc>
        <w:tc>
          <w:tcPr>
            <w:tcW w:w="260" w:type="dxa"/>
            <w:vAlign w:val="bottom"/>
          </w:tcPr>
          <w:p>
            <w:pPr>
              <w:spacing w:after="0"/>
              <w:rPr>
                <w:sz w:val="19"/>
                <w:szCs w:val="19"/>
                <w:color w:val="auto"/>
              </w:rPr>
            </w:pPr>
          </w:p>
        </w:tc>
      </w:tr>
      <w:tr>
        <w:trPr>
          <w:trHeight w:val="239"/>
        </w:trPr>
        <w:tc>
          <w:tcPr>
            <w:tcW w:w="7420" w:type="dxa"/>
            <w:vAlign w:val="bottom"/>
            <w:gridSpan w:val="2"/>
          </w:tcPr>
          <w:p>
            <w:pPr>
              <w:ind w:left="320"/>
              <w:spacing w:after="0"/>
              <w:rPr>
                <w:sz w:val="20"/>
                <w:szCs w:val="20"/>
                <w:color w:val="auto"/>
              </w:rPr>
            </w:pPr>
            <w:r>
              <w:rPr>
                <w:rFonts w:ascii="Arial" w:cs="Arial" w:eastAsia="Arial" w:hAnsi="Arial"/>
                <w:sz w:val="15"/>
                <w:szCs w:val="15"/>
                <w:color w:val="auto"/>
              </w:rPr>
              <w:t>Total REO acquisitions</w:t>
            </w:r>
            <w:r>
              <w:rPr>
                <w:rFonts w:ascii="Arial" w:cs="Arial" w:eastAsia="Arial" w:hAnsi="Arial"/>
                <w:sz w:val="20"/>
                <w:szCs w:val="20"/>
                <w:color w:val="auto"/>
                <w:vertAlign w:val="superscript"/>
              </w:rPr>
              <w:t>(1)</w:t>
            </w:r>
          </w:p>
        </w:tc>
        <w:tc>
          <w:tcPr>
            <w:tcW w:w="44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1,673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2,217</w:t>
            </w:r>
          </w:p>
        </w:tc>
        <w:tc>
          <w:tcPr>
            <w:tcW w:w="260" w:type="dxa"/>
            <w:vAlign w:val="bottom"/>
          </w:tcPr>
          <w:p>
            <w:pPr>
              <w:spacing w:after="0"/>
              <w:rPr>
                <w:sz w:val="20"/>
                <w:szCs w:val="20"/>
                <w:color w:val="auto"/>
              </w:rPr>
            </w:pPr>
          </w:p>
        </w:tc>
      </w:tr>
      <w:tr>
        <w:trPr>
          <w:trHeight w:val="218"/>
        </w:trPr>
        <w:tc>
          <w:tcPr>
            <w:tcW w:w="72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Dispositions of REO</w:t>
            </w:r>
          </w:p>
        </w:tc>
        <w:tc>
          <w:tcPr>
            <w:tcW w:w="140" w:type="dxa"/>
            <w:vAlign w:val="bottom"/>
          </w:tcPr>
          <w:p>
            <w:pPr>
              <w:spacing w:after="0"/>
              <w:rPr>
                <w:sz w:val="18"/>
                <w:szCs w:val="18"/>
                <w:color w:val="auto"/>
              </w:rPr>
            </w:pPr>
          </w:p>
        </w:tc>
        <w:tc>
          <w:tcPr>
            <w:tcW w:w="44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(2,381)</w:t>
            </w:r>
          </w:p>
        </w:tc>
        <w:tc>
          <w:tcPr>
            <w:tcW w:w="260" w:type="dxa"/>
            <w:vAlign w:val="bottom"/>
          </w:tcPr>
          <w:p>
            <w:pPr>
              <w:spacing w:after="0"/>
              <w:rPr>
                <w:sz w:val="18"/>
                <w:szCs w:val="18"/>
                <w:color w:val="auto"/>
              </w:rPr>
            </w:pPr>
          </w:p>
        </w:tc>
      </w:tr>
      <w:tr>
        <w:trPr>
          <w:trHeight w:val="225"/>
        </w:trPr>
        <w:tc>
          <w:tcPr>
            <w:tcW w:w="7280" w:type="dxa"/>
            <w:vAlign w:val="bottom"/>
            <w:tcBorders>
              <w:bottom w:val="single" w:sz="8" w:color="2C6937"/>
            </w:tcBorders>
          </w:tcPr>
          <w:p>
            <w:pPr>
              <w:ind w:left="180"/>
              <w:spacing w:after="0" w:line="225" w:lineRule="exact"/>
              <w:rPr>
                <w:sz w:val="20"/>
                <w:szCs w:val="20"/>
                <w:color w:val="auto"/>
              </w:rPr>
            </w:pPr>
            <w:r>
              <w:rPr>
                <w:rFonts w:ascii="Arial" w:cs="Arial" w:eastAsia="Arial" w:hAnsi="Arial"/>
                <w:sz w:val="15"/>
                <w:szCs w:val="15"/>
                <w:color w:val="auto"/>
              </w:rPr>
              <w:t>End of period inventory of single-family REO properties</w:t>
            </w:r>
            <w:r>
              <w:rPr>
                <w:rFonts w:ascii="Arial" w:cs="Arial" w:eastAsia="Arial" w:hAnsi="Arial"/>
                <w:sz w:val="20"/>
                <w:szCs w:val="20"/>
                <w:color w:val="auto"/>
                <w:vertAlign w:val="superscript"/>
              </w:rPr>
              <w:t>(1)</w:t>
            </w:r>
          </w:p>
        </w:tc>
        <w:tc>
          <w:tcPr>
            <w:tcW w:w="14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7,179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8,615</w:t>
            </w:r>
          </w:p>
        </w:tc>
        <w:tc>
          <w:tcPr>
            <w:tcW w:w="260" w:type="dxa"/>
            <w:vAlign w:val="bottom"/>
          </w:tcPr>
          <w:p>
            <w:pPr>
              <w:spacing w:after="0"/>
              <w:rPr>
                <w:sz w:val="19"/>
                <w:szCs w:val="19"/>
                <w:color w:val="auto"/>
              </w:rPr>
            </w:pPr>
          </w:p>
        </w:tc>
      </w:tr>
      <w:tr>
        <w:trPr>
          <w:trHeight w:val="20"/>
        </w:trPr>
        <w:tc>
          <w:tcPr>
            <w:tcW w:w="728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Carrying value of single-family REO properties (dollars in millions)</w:t>
            </w:r>
          </w:p>
        </w:tc>
        <w:tc>
          <w:tcPr>
            <w:tcW w:w="440" w:type="dxa"/>
            <w:vAlign w:val="bottom"/>
          </w:tcPr>
          <w:p>
            <w:pPr>
              <w:jc w:val="right"/>
              <w:ind w:right="243"/>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1,229</w:t>
            </w:r>
          </w:p>
        </w:tc>
        <w:tc>
          <w:tcPr>
            <w:tcW w:w="80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1,332</w:t>
            </w:r>
          </w:p>
        </w:tc>
        <w:tc>
          <w:tcPr>
            <w:tcW w:w="260" w:type="dxa"/>
            <w:vAlign w:val="bottom"/>
          </w:tcPr>
          <w:p>
            <w:pPr>
              <w:spacing w:after="0"/>
              <w:rPr>
                <w:sz w:val="20"/>
                <w:szCs w:val="20"/>
                <w:color w:val="auto"/>
              </w:rPr>
            </w:pPr>
          </w:p>
        </w:tc>
      </w:tr>
      <w:tr>
        <w:trPr>
          <w:trHeight w:val="239"/>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Single-family foreclosure rate</w:t>
            </w:r>
            <w:r>
              <w:rPr>
                <w:rFonts w:ascii="Arial" w:cs="Arial" w:eastAsia="Arial" w:hAnsi="Arial"/>
                <w:sz w:val="20"/>
                <w:szCs w:val="20"/>
                <w:color w:val="auto"/>
                <w:vertAlign w:val="superscript"/>
              </w:rPr>
              <w:t>(3)</w:t>
            </w:r>
          </w:p>
        </w:tc>
        <w:tc>
          <w:tcPr>
            <w:tcW w:w="44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0.02</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0.03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REO net sales price to unpaid principal balance</w:t>
            </w:r>
            <w:r>
              <w:rPr>
                <w:rFonts w:ascii="Arial" w:cs="Arial" w:eastAsia="Arial" w:hAnsi="Arial"/>
                <w:sz w:val="20"/>
                <w:szCs w:val="20"/>
                <w:color w:val="auto"/>
                <w:vertAlign w:val="superscript"/>
              </w:rPr>
              <w:t>(4)</w:t>
            </w:r>
          </w:p>
        </w:tc>
        <w:tc>
          <w:tcPr>
            <w:tcW w:w="44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142</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126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REO net sales price to unpaid principal balance and costs to repair</w:t>
            </w:r>
            <w:r>
              <w:rPr>
                <w:rFonts w:ascii="Arial" w:cs="Arial" w:eastAsia="Arial" w:hAnsi="Arial"/>
                <w:sz w:val="20"/>
                <w:szCs w:val="20"/>
                <w:color w:val="auto"/>
                <w:vertAlign w:val="superscript"/>
              </w:rPr>
              <w:t>(5)</w:t>
            </w:r>
          </w:p>
        </w:tc>
        <w:tc>
          <w:tcPr>
            <w:tcW w:w="44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92</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1"/>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Short sales net sales price to unpaid principal balance</w:t>
            </w:r>
            <w:r>
              <w:rPr>
                <w:rFonts w:ascii="Arial" w:cs="Arial" w:eastAsia="Arial" w:hAnsi="Arial"/>
                <w:sz w:val="20"/>
                <w:szCs w:val="20"/>
                <w:color w:val="auto"/>
                <w:vertAlign w:val="superscript"/>
              </w:rPr>
              <w:t>(6)</w:t>
            </w:r>
          </w:p>
        </w:tc>
        <w:tc>
          <w:tcPr>
            <w:tcW w:w="440" w:type="dxa"/>
            <w:vAlign w:val="bottom"/>
          </w:tcPr>
          <w:p>
            <w:pPr>
              <w:spacing w:after="0"/>
              <w:rPr>
                <w:sz w:val="23"/>
                <w:szCs w:val="23"/>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90</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42" w:lineRule="exact"/>
        <w:rPr>
          <w:sz w:val="20"/>
          <w:szCs w:val="20"/>
          <w:color w:val="auto"/>
        </w:rPr>
      </w:pPr>
    </w:p>
    <w:p>
      <w:pPr>
        <w:ind w:left="220" w:hanging="217"/>
        <w:spacing w:after="0"/>
        <w:tabs>
          <w:tab w:leader="none" w:pos="22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Comprised of held-for sale and held-for-use properties, which are reported in our condensed consolidated balance sheets as a component of “Other assets.”</w:t>
      </w:r>
    </w:p>
    <w:p>
      <w:pPr>
        <w:spacing w:after="0" w:line="37" w:lineRule="exact"/>
        <w:rPr>
          <w:rFonts w:ascii="Arial" w:cs="Arial" w:eastAsia="Arial" w:hAnsi="Arial"/>
          <w:sz w:val="18"/>
          <w:szCs w:val="18"/>
          <w:color w:val="auto"/>
          <w:vertAlign w:val="superscript"/>
        </w:rPr>
      </w:pPr>
    </w:p>
    <w:p>
      <w:pPr>
        <w:ind w:left="220" w:hanging="217"/>
        <w:spacing w:after="0" w:line="206" w:lineRule="auto"/>
        <w:tabs>
          <w:tab w:leader="none" w:pos="220" w:val="left"/>
        </w:tabs>
        <w:numPr>
          <w:ilvl w:val="0"/>
          <w:numId w:val="37"/>
        </w:numPr>
        <w:rPr>
          <w:rFonts w:ascii="Arial" w:cs="Arial" w:eastAsia="Arial" w:hAnsi="Arial"/>
          <w:sz w:val="17"/>
          <w:szCs w:val="17"/>
          <w:color w:val="auto"/>
          <w:vertAlign w:val="superscript"/>
        </w:rPr>
      </w:pPr>
      <w:r>
        <w:rPr>
          <w:rFonts w:ascii="Arial" w:cs="Arial" w:eastAsia="Arial" w:hAnsi="Arial"/>
          <w:sz w:val="13"/>
          <w:szCs w:val="13"/>
          <w:color w:val="auto"/>
        </w:rPr>
        <w:t>See footnote 9 to the “Key Risk Characteristics of Single-Family Conventional Business Volume and Guaranty Book of Business” table for states included in each geographic region.</w:t>
      </w:r>
    </w:p>
    <w:p>
      <w:pPr>
        <w:spacing w:after="0" w:line="25" w:lineRule="exact"/>
        <w:rPr>
          <w:rFonts w:ascii="Arial" w:cs="Arial" w:eastAsia="Arial" w:hAnsi="Arial"/>
          <w:sz w:val="17"/>
          <w:szCs w:val="17"/>
          <w:color w:val="auto"/>
          <w:vertAlign w:val="superscript"/>
        </w:rPr>
      </w:pPr>
    </w:p>
    <w:p>
      <w:pPr>
        <w:ind w:left="240" w:right="60" w:hanging="237"/>
        <w:spacing w:after="0" w:line="260" w:lineRule="auto"/>
        <w:tabs>
          <w:tab w:leader="none" w:pos="233" w:val="left"/>
        </w:tabs>
        <w:numPr>
          <w:ilvl w:val="0"/>
          <w:numId w:val="37"/>
        </w:numPr>
        <w:rPr>
          <w:rFonts w:ascii="Arial" w:cs="Arial" w:eastAsia="Arial" w:hAnsi="Arial"/>
          <w:sz w:val="9"/>
          <w:szCs w:val="9"/>
          <w:color w:val="auto"/>
        </w:rPr>
      </w:pPr>
      <w:r>
        <w:rPr>
          <w:rFonts w:ascii="Arial" w:cs="Arial" w:eastAsia="Arial" w:hAnsi="Arial"/>
          <w:sz w:val="14"/>
          <w:szCs w:val="14"/>
          <w:color w:val="auto"/>
        </w:rPr>
        <w:t>Estimated based on the annualized total number of properties acquired through foreclosure or deeds-in-lieu of foreclosure as a percentage of the total number of loans in our single-family conventional guaranty book of business as of the end of each period.</w:t>
      </w:r>
    </w:p>
    <w:p>
      <w:pPr>
        <w:spacing w:after="0" w:line="13" w:lineRule="exact"/>
        <w:rPr>
          <w:rFonts w:ascii="Arial" w:cs="Arial" w:eastAsia="Arial" w:hAnsi="Arial"/>
          <w:sz w:val="9"/>
          <w:szCs w:val="9"/>
          <w:color w:val="auto"/>
        </w:rPr>
      </w:pPr>
    </w:p>
    <w:p>
      <w:pPr>
        <w:ind w:left="240" w:right="160" w:hanging="237"/>
        <w:spacing w:after="0" w:line="233" w:lineRule="auto"/>
        <w:tabs>
          <w:tab w:leader="none" w:pos="233"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unpaid principal balance of the related loans at the time of foreclosure. Net sales price represents the contract sales price less selling costs for the property and other charges paid by the seller at closing, and excludes the costs associated with any property repairs.</w:t>
      </w:r>
    </w:p>
    <w:p>
      <w:pPr>
        <w:spacing w:after="0" w:line="15" w:lineRule="exact"/>
        <w:rPr>
          <w:rFonts w:ascii="Arial" w:cs="Arial" w:eastAsia="Arial" w:hAnsi="Arial"/>
          <w:sz w:val="18"/>
          <w:szCs w:val="18"/>
          <w:color w:val="auto"/>
          <w:vertAlign w:val="superscript"/>
        </w:rPr>
      </w:pPr>
    </w:p>
    <w:p>
      <w:pPr>
        <w:ind w:left="240" w:right="180" w:hanging="237"/>
        <w:spacing w:after="0" w:line="264" w:lineRule="auto"/>
        <w:tabs>
          <w:tab w:leader="none" w:pos="233" w:val="left"/>
        </w:tabs>
        <w:numPr>
          <w:ilvl w:val="0"/>
          <w:numId w:val="37"/>
        </w:numPr>
        <w:rPr>
          <w:rFonts w:ascii="Arial" w:cs="Arial" w:eastAsia="Arial" w:hAnsi="Arial"/>
          <w:sz w:val="9"/>
          <w:szCs w:val="9"/>
          <w:color w:val="auto"/>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unpaid principal balance of the related loans at the time of foreclosure and costs to repair the property. Net sales price represents the contract sales price less selling costs for the property and other charges paid by the seller at closing.</w:t>
      </w:r>
    </w:p>
    <w:p>
      <w:pPr>
        <w:spacing w:after="0" w:line="10" w:lineRule="exact"/>
        <w:rPr>
          <w:rFonts w:ascii="Arial" w:cs="Arial" w:eastAsia="Arial" w:hAnsi="Arial"/>
          <w:sz w:val="9"/>
          <w:szCs w:val="9"/>
          <w:color w:val="auto"/>
        </w:rPr>
      </w:pPr>
    </w:p>
    <w:p>
      <w:pPr>
        <w:ind w:left="240" w:right="140" w:hanging="237"/>
        <w:spacing w:after="0" w:line="226" w:lineRule="auto"/>
        <w:tabs>
          <w:tab w:leader="none" w:pos="233"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properties sold in short sale transactions during the respective periods divided by the aggregate unpaid principal balance of the related loans. Net sales price includes borrower relocation incentive payments and subordinate lien(s) negotiated payoffs.</w:t>
      </w:r>
    </w:p>
    <w:p>
      <w:pPr>
        <w:spacing w:after="0" w:line="64" w:lineRule="exact"/>
        <w:rPr>
          <w:sz w:val="20"/>
          <w:szCs w:val="20"/>
          <w:color w:val="auto"/>
        </w:rPr>
      </w:pPr>
    </w:p>
    <w:p>
      <w:pPr>
        <w:ind w:right="380"/>
        <w:spacing w:after="0" w:line="310" w:lineRule="auto"/>
        <w:rPr>
          <w:sz w:val="20"/>
          <w:szCs w:val="20"/>
          <w:color w:val="auto"/>
        </w:rPr>
      </w:pPr>
      <w:r>
        <w:rPr>
          <w:rFonts w:ascii="Arial" w:cs="Arial" w:eastAsia="Arial" w:hAnsi="Arial"/>
          <w:sz w:val="16"/>
          <w:szCs w:val="16"/>
          <w:color w:val="auto"/>
        </w:rPr>
        <w:t>Our REO net sales price to unpaid principal balance and costs to repair decreased to 92% for the first half of 2024 compared to 97% for the first half of 2023, primarily driven by increased costs we have incurred to repair the condition of properties.</w:t>
      </w:r>
    </w:p>
    <w:p>
      <w:pPr>
        <w:spacing w:after="0" w:line="93"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 Credit Loss Performance Metrics and Loan Sale Performance</w:t>
      </w:r>
    </w:p>
    <w:p>
      <w:pPr>
        <w:spacing w:after="0" w:line="6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single-family credit loss performance metrics and loan sale performance measures below present information about losses or gains we realized on our single-family loans during the periods presented. For the purposes of our single-family credit loss performance metrics, credit losses or gains represent write-offs net of recoveries and foreclosed property income or expense. The amount of these losses or gains in a given period is driven by foreclosures, pre-foreclosure sales, post-foreclosure REO activity, mortgage loan redesignations, and other events that trigger write-offs and recoveries. The single-family credit loss metrics we present are not defined terms and may not be calculated in the same manner as similarly titled measures reported by other companies. Management uses these measures to evaluate the effectiveness of our single-family credit risk management strategies in conjunction with leading indicators such as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6" w:name="page37"/>
    <w:bookmarkEnd w:id="36"/>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serious delinquency and forbearance rates, which are potential indicators of future realized single-family credit losses. We believe these measures provide useful information about our single-family credit performance and the factors that impact it.</w:t>
      </w:r>
    </w:p>
    <w:p>
      <w:pPr>
        <w:spacing w:after="0" w:line="1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table below displays the components of our single-family credit loss performance metrics. Because sales of nonperforming and reperforming loans are a part of our credit loss mitigation strategy, we also provide information in the table below on our loan sale performance through the “Gains (losses) on sales and other valuation adjustments” line item.</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Single-Family Credit Loss Performance Metrics and Loan Sale Performance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40" w:type="dxa"/>
            <w:vAlign w:val="bottom"/>
            <w:tcBorders>
              <w:top w:val="single" w:sz="8" w:color="2C6937"/>
            </w:tcBorders>
          </w:tcPr>
          <w:p>
            <w:pPr>
              <w:spacing w:after="0"/>
              <w:rPr>
                <w:sz w:val="15"/>
                <w:szCs w:val="15"/>
                <w:color w:val="auto"/>
              </w:rPr>
            </w:pPr>
          </w:p>
        </w:tc>
        <w:tc>
          <w:tcPr>
            <w:tcW w:w="80" w:type="dxa"/>
            <w:vAlign w:val="bottom"/>
            <w:tcBorders>
              <w:top w:val="single" w:sz="8" w:color="2C6937"/>
            </w:tcBorders>
          </w:tcPr>
          <w:p>
            <w:pPr>
              <w:spacing w:after="0"/>
              <w:rPr>
                <w:sz w:val="15"/>
                <w:szCs w:val="15"/>
                <w:color w:val="auto"/>
              </w:rPr>
            </w:pPr>
          </w:p>
        </w:tc>
        <w:tc>
          <w:tcPr>
            <w:tcW w:w="2540" w:type="dxa"/>
            <w:vAlign w:val="bottom"/>
            <w:tcBorders>
              <w:top w:val="single" w:sz="8" w:color="2C6937"/>
            </w:tcBorders>
            <w:gridSpan w:val="6"/>
          </w:tcPr>
          <w:p>
            <w:pPr>
              <w:ind w:left="180"/>
              <w:spacing w:after="0"/>
              <w:rPr>
                <w:sz w:val="20"/>
                <w:szCs w:val="20"/>
                <w:color w:val="auto"/>
              </w:rPr>
            </w:pPr>
            <w:r>
              <w:rPr>
                <w:rFonts w:ascii="Arial" w:cs="Arial" w:eastAsia="Arial" w:hAnsi="Arial"/>
                <w:sz w:val="15"/>
                <w:szCs w:val="15"/>
                <w:b w:val="1"/>
                <w:bCs w:val="1"/>
                <w:color w:val="auto"/>
              </w:rPr>
              <w:t>For the Three Months Ended</w:t>
            </w:r>
          </w:p>
        </w:tc>
        <w:tc>
          <w:tcPr>
            <w:tcW w:w="2480" w:type="dxa"/>
            <w:vAlign w:val="bottom"/>
            <w:tcBorders>
              <w:top w:val="single" w:sz="8" w:color="2C6937"/>
            </w:tcBorders>
            <w:gridSpan w:val="5"/>
          </w:tcPr>
          <w:p>
            <w:pPr>
              <w:jc w:val="right"/>
              <w:ind w:right="3"/>
              <w:spacing w:after="0"/>
              <w:rPr>
                <w:sz w:val="20"/>
                <w:szCs w:val="20"/>
                <w:color w:val="auto"/>
              </w:rPr>
            </w:pPr>
            <w:r>
              <w:rPr>
                <w:rFonts w:ascii="Arial" w:cs="Arial" w:eastAsia="Arial" w:hAnsi="Arial"/>
                <w:sz w:val="15"/>
                <w:szCs w:val="15"/>
                <w:b w:val="1"/>
                <w:bCs w:val="1"/>
                <w:color w:val="auto"/>
              </w:rPr>
              <w:t>For the Six Months Ended June</w:t>
            </w:r>
          </w:p>
        </w:tc>
      </w:tr>
      <w:tr>
        <w:trPr>
          <w:trHeight w:val="206"/>
        </w:trPr>
        <w:tc>
          <w:tcPr>
            <w:tcW w:w="6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gridSpan w:val="3"/>
          </w:tcPr>
          <w:p>
            <w:pPr>
              <w:jc w:val="right"/>
              <w:ind w:right="3"/>
              <w:spacing w:after="0"/>
              <w:rPr>
                <w:sz w:val="20"/>
                <w:szCs w:val="20"/>
                <w:color w:val="auto"/>
              </w:rPr>
            </w:pPr>
            <w:r>
              <w:rPr>
                <w:rFonts w:ascii="Arial" w:cs="Arial" w:eastAsia="Arial" w:hAnsi="Arial"/>
                <w:sz w:val="15"/>
                <w:szCs w:val="15"/>
                <w:b w:val="1"/>
                <w:bCs w:val="1"/>
                <w:color w:val="auto"/>
              </w:rPr>
              <w:t>June 30,</w:t>
            </w:r>
          </w:p>
        </w:tc>
        <w:tc>
          <w:tcPr>
            <w:tcW w:w="82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gridSpan w:val="3"/>
          </w:tcPr>
          <w:p>
            <w:pPr>
              <w:jc w:val="right"/>
              <w:ind w:right="143"/>
              <w:spacing w:after="0"/>
              <w:rPr>
                <w:sz w:val="20"/>
                <w:szCs w:val="20"/>
                <w:color w:val="auto"/>
              </w:rPr>
            </w:pPr>
            <w:r>
              <w:rPr>
                <w:rFonts w:ascii="Arial" w:cs="Arial" w:eastAsia="Arial" w:hAnsi="Arial"/>
                <w:sz w:val="15"/>
                <w:szCs w:val="15"/>
                <w:b w:val="1"/>
                <w:bCs w:val="1"/>
                <w:color w:val="auto"/>
              </w:rPr>
              <w:t>30,</w:t>
            </w:r>
          </w:p>
        </w:tc>
        <w:tc>
          <w:tcPr>
            <w:tcW w:w="920" w:type="dxa"/>
            <w:vAlign w:val="bottom"/>
            <w:tcBorders>
              <w:bottom w:val="single" w:sz="8" w:color="2C6937"/>
            </w:tcBorders>
          </w:tcPr>
          <w:p>
            <w:pPr>
              <w:spacing w:after="0"/>
              <w:rPr>
                <w:sz w:val="17"/>
                <w:szCs w:val="17"/>
                <w:color w:val="auto"/>
              </w:rPr>
            </w:pPr>
          </w:p>
        </w:tc>
      </w:tr>
      <w:tr>
        <w:trPr>
          <w:trHeight w:val="199"/>
        </w:trPr>
        <w:tc>
          <w:tcPr>
            <w:tcW w:w="6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2024</w:t>
            </w:r>
          </w:p>
        </w:tc>
        <w:tc>
          <w:tcPr>
            <w:tcW w:w="4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2024</w:t>
            </w:r>
          </w:p>
        </w:tc>
        <w:tc>
          <w:tcPr>
            <w:tcW w:w="4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2023</w:t>
            </w:r>
          </w:p>
        </w:tc>
      </w:tr>
      <w:tr>
        <w:trPr>
          <w:trHeight w:val="296"/>
        </w:trPr>
        <w:tc>
          <w:tcPr>
            <w:tcW w:w="6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right"/>
              <w:ind w:right="3"/>
              <w:spacing w:after="0"/>
              <w:rPr>
                <w:sz w:val="20"/>
                <w:szCs w:val="20"/>
                <w:color w:val="auto"/>
              </w:rPr>
            </w:pPr>
            <w:r>
              <w:rPr>
                <w:rFonts w:ascii="Arial" w:cs="Arial" w:eastAsia="Arial" w:hAnsi="Arial"/>
                <w:sz w:val="15"/>
                <w:szCs w:val="15"/>
                <w:b w:val="1"/>
                <w:bCs w:val="1"/>
                <w:color w:val="auto"/>
              </w:rPr>
              <w:t>(Dollars in millions)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2"/>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Write-offs</w:t>
            </w:r>
          </w:p>
        </w:tc>
        <w:tc>
          <w:tcPr>
            <w:tcW w:w="800" w:type="dxa"/>
            <w:vAlign w:val="bottom"/>
          </w:tcPr>
          <w:p>
            <w:pPr>
              <w:jc w:val="right"/>
              <w:ind w:right="603"/>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(125)</w:t>
            </w:r>
          </w:p>
        </w:tc>
        <w:tc>
          <w:tcPr>
            <w:tcW w:w="10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4"/>
                <w:szCs w:val="24"/>
                <w:color w:val="auto"/>
              </w:rPr>
            </w:pPr>
          </w:p>
        </w:tc>
        <w:tc>
          <w:tcPr>
            <w:tcW w:w="780" w:type="dxa"/>
            <w:vAlign w:val="bottom"/>
          </w:tcPr>
          <w:p>
            <w:pPr>
              <w:jc w:val="right"/>
              <w:ind w:right="603"/>
              <w:spacing w:after="0"/>
              <w:rPr>
                <w:sz w:val="20"/>
                <w:szCs w:val="20"/>
                <w:color w:val="auto"/>
              </w:rPr>
            </w:pPr>
            <w:r>
              <w:rPr>
                <w:rFonts w:ascii="Arial" w:cs="Arial" w:eastAsia="Arial" w:hAnsi="Arial"/>
                <w:sz w:val="15"/>
                <w:szCs w:val="15"/>
                <w:b w:val="1"/>
                <w:bCs w:val="1"/>
                <w:color w:val="auto"/>
                <w:w w:val="95"/>
              </w:rPr>
              <w: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(222)</w:t>
            </w:r>
          </w:p>
        </w:tc>
        <w:tc>
          <w:tcPr>
            <w:tcW w:w="80" w:type="dxa"/>
            <w:vAlign w:val="bottom"/>
          </w:tcPr>
          <w:p>
            <w:pPr>
              <w:spacing w:after="0"/>
              <w:rPr>
                <w:sz w:val="24"/>
                <w:szCs w:val="24"/>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(99)</w:t>
            </w:r>
          </w:p>
        </w:tc>
      </w:tr>
      <w:tr>
        <w:trPr>
          <w:trHeight w:val="302"/>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Recoveries</w:t>
            </w:r>
          </w:p>
        </w:tc>
        <w:tc>
          <w:tcPr>
            <w:tcW w:w="8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b w:val="1"/>
                <w:bCs w:val="1"/>
                <w:color w:val="auto"/>
              </w:rPr>
              <w:t>159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107</w:t>
            </w:r>
          </w:p>
        </w:tc>
      </w:tr>
      <w:tr>
        <w:trPr>
          <w:trHeight w:val="208"/>
        </w:trPr>
        <w:tc>
          <w:tcPr>
            <w:tcW w:w="61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Foreclosed property income (expense)</w:t>
            </w:r>
          </w:p>
        </w:tc>
        <w:tc>
          <w:tcPr>
            <w:tcW w:w="80" w:type="dxa"/>
            <w:vAlign w:val="bottom"/>
          </w:tcPr>
          <w:p>
            <w:pPr>
              <w:spacing w:after="0"/>
              <w:rPr>
                <w:sz w:val="18"/>
                <w:szCs w:val="18"/>
                <w:color w:val="auto"/>
              </w:rPr>
            </w:pPr>
          </w:p>
        </w:tc>
        <w:tc>
          <w:tcPr>
            <w:tcW w:w="800" w:type="dxa"/>
            <w:vAlign w:val="bottom"/>
            <w:tcBorders>
              <w:bottom w:val="single" w:sz="8" w:color="2C6937"/>
            </w:tcBorders>
          </w:tcPr>
          <w:p>
            <w:pPr>
              <w:spacing w:after="0"/>
              <w:rPr>
                <w:sz w:val="18"/>
                <w:szCs w:val="18"/>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(113)</w:t>
            </w:r>
          </w:p>
        </w:tc>
        <w:tc>
          <w:tcPr>
            <w:tcW w:w="10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8"/>
                <w:szCs w:val="18"/>
                <w:color w:val="auto"/>
              </w:rPr>
            </w:pPr>
          </w:p>
        </w:tc>
        <w:tc>
          <w:tcPr>
            <w:tcW w:w="78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(192)</w:t>
            </w:r>
          </w:p>
        </w:tc>
        <w:tc>
          <w:tcPr>
            <w:tcW w:w="8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w:t>
            </w:r>
          </w:p>
        </w:tc>
      </w:tr>
      <w:tr>
        <w:trPr>
          <w:trHeight w:val="309"/>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Credit gains (losses)</w:t>
            </w:r>
          </w:p>
        </w:tc>
        <w:tc>
          <w:tcPr>
            <w:tcW w:w="8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(138)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(255)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303"/>
        </w:trPr>
        <w:tc>
          <w:tcPr>
            <w:tcW w:w="61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Write-offs on the redesignation of mortgage loans from HFI to HFS</w:t>
            </w:r>
            <w:r>
              <w:rPr>
                <w:rFonts w:ascii="Arial" w:cs="Arial" w:eastAsia="Arial" w:hAnsi="Arial"/>
                <w:sz w:val="20"/>
                <w:szCs w:val="20"/>
                <w:color w:val="auto"/>
                <w:vertAlign w:val="superscript"/>
              </w:rPr>
              <w:t>(1)</w:t>
            </w:r>
          </w:p>
        </w:tc>
        <w:tc>
          <w:tcPr>
            <w:tcW w:w="80" w:type="dxa"/>
            <w:vAlign w:val="bottom"/>
          </w:tcPr>
          <w:p>
            <w:pPr>
              <w:spacing w:after="0"/>
              <w:rPr>
                <w:sz w:val="24"/>
                <w:szCs w:val="24"/>
                <w:color w:val="auto"/>
              </w:rPr>
            </w:pPr>
          </w:p>
        </w:tc>
        <w:tc>
          <w:tcPr>
            <w:tcW w:w="80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(18)</w:t>
            </w:r>
          </w:p>
        </w:tc>
        <w:tc>
          <w:tcPr>
            <w:tcW w:w="10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(38)</w:t>
            </w:r>
          </w:p>
        </w:tc>
        <w:tc>
          <w:tcPr>
            <w:tcW w:w="8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Net credit gains (losses) and write-offs on redesignations</w:t>
            </w:r>
          </w:p>
        </w:tc>
        <w:tc>
          <w:tcPr>
            <w:tcW w:w="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(293)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303"/>
        </w:trPr>
        <w:tc>
          <w:tcPr>
            <w:tcW w:w="61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Gains (losses) on sales and other valuation adjustments</w:t>
            </w:r>
            <w:r>
              <w:rPr>
                <w:rFonts w:ascii="Arial" w:cs="Arial" w:eastAsia="Arial" w:hAnsi="Arial"/>
                <w:sz w:val="20"/>
                <w:szCs w:val="20"/>
                <w:color w:val="auto"/>
                <w:vertAlign w:val="superscript"/>
              </w:rPr>
              <w:t>(2)</w:t>
            </w:r>
          </w:p>
        </w:tc>
        <w:tc>
          <w:tcPr>
            <w:tcW w:w="80" w:type="dxa"/>
            <w:vAlign w:val="bottom"/>
          </w:tcPr>
          <w:p>
            <w:pPr>
              <w:spacing w:after="0"/>
              <w:rPr>
                <w:sz w:val="24"/>
                <w:szCs w:val="24"/>
                <w:color w:val="auto"/>
              </w:rPr>
            </w:pPr>
          </w:p>
        </w:tc>
        <w:tc>
          <w:tcPr>
            <w:tcW w:w="80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(30)</w:t>
            </w:r>
          </w:p>
        </w:tc>
        <w:tc>
          <w:tcPr>
            <w:tcW w:w="10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(16)</w:t>
            </w:r>
          </w:p>
        </w:tc>
        <w:tc>
          <w:tcPr>
            <w:tcW w:w="8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(49)</w:t>
            </w:r>
          </w:p>
        </w:tc>
      </w:tr>
      <w:tr>
        <w:trPr>
          <w:trHeight w:val="187"/>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Net credit gains (losses), write-offs on redesignations and gains (losses) on sales and</w:t>
            </w: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1"/>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other valuation adjustments</w:t>
            </w:r>
          </w:p>
        </w:tc>
        <w:tc>
          <w:tcPr>
            <w:tcW w:w="800" w:type="dxa"/>
            <w:vAlign w:val="bottom"/>
          </w:tcPr>
          <w:p>
            <w:pPr>
              <w:jc w:val="right"/>
              <w:ind w:right="603"/>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(186)</w:t>
            </w:r>
          </w:p>
        </w:tc>
        <w:tc>
          <w:tcPr>
            <w:tcW w:w="100" w:type="dxa"/>
            <w:vAlign w:val="bottom"/>
          </w:tcPr>
          <w:p>
            <w:pPr>
              <w:spacing w:after="0"/>
              <w:rPr>
                <w:sz w:val="20"/>
                <w:szCs w:val="20"/>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20"/>
                <w:szCs w:val="20"/>
                <w:color w:val="auto"/>
              </w:rPr>
            </w:pPr>
          </w:p>
        </w:tc>
        <w:tc>
          <w:tcPr>
            <w:tcW w:w="780" w:type="dxa"/>
            <w:vAlign w:val="bottom"/>
          </w:tcPr>
          <w:p>
            <w:pPr>
              <w:jc w:val="right"/>
              <w:ind w:right="603"/>
              <w:spacing w:after="0"/>
              <w:rPr>
                <w:sz w:val="20"/>
                <w:szCs w:val="20"/>
                <w:color w:val="auto"/>
              </w:rPr>
            </w:pPr>
            <w:r>
              <w:rPr>
                <w:rFonts w:ascii="Arial" w:cs="Arial" w:eastAsia="Arial" w:hAnsi="Arial"/>
                <w:sz w:val="15"/>
                <w:szCs w:val="15"/>
                <w:b w:val="1"/>
                <w:bCs w:val="1"/>
                <w:color w:val="auto"/>
                <w:w w:val="95"/>
              </w:rPr>
              <w: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(309)</w:t>
            </w:r>
          </w:p>
        </w:tc>
        <w:tc>
          <w:tcPr>
            <w:tcW w:w="80" w:type="dxa"/>
            <w:vAlign w:val="bottom"/>
          </w:tcPr>
          <w:p>
            <w:pPr>
              <w:spacing w:after="0"/>
              <w:rPr>
                <w:sz w:val="20"/>
                <w:szCs w:val="20"/>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0"/>
        </w:trPr>
        <w:tc>
          <w:tcPr>
            <w:tcW w:w="61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r>
      <w:tr>
        <w:trPr>
          <w:trHeight w:val="469"/>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Credit gain (loss) ratio (in bps)</w:t>
            </w:r>
            <w:r>
              <w:rPr>
                <w:rFonts w:ascii="Arial" w:cs="Arial" w:eastAsia="Arial" w:hAnsi="Arial"/>
                <w:sz w:val="20"/>
                <w:szCs w:val="20"/>
                <w:color w:val="auto"/>
                <w:vertAlign w:val="superscript"/>
              </w:rPr>
              <w:t>(3)</w:t>
            </w:r>
          </w:p>
        </w:tc>
        <w:tc>
          <w:tcPr>
            <w:tcW w:w="8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(0.1)</w:t>
            </w:r>
          </w:p>
        </w:tc>
      </w:tr>
      <w:tr>
        <w:trPr>
          <w:trHeight w:val="180"/>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Net credit gains (losses), write-offs on redesignations and gains (losses) on sales and</w:t>
            </w: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1"/>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other valuation adjustments ratio (in bps)</w:t>
            </w:r>
            <w:r>
              <w:rPr>
                <w:rFonts w:ascii="Arial" w:cs="Arial" w:eastAsia="Arial" w:hAnsi="Arial"/>
                <w:sz w:val="20"/>
                <w:szCs w:val="20"/>
                <w:color w:val="auto"/>
                <w:vertAlign w:val="superscript"/>
              </w:rPr>
              <w:t>(4)</w:t>
            </w:r>
          </w:p>
        </w:tc>
        <w:tc>
          <w:tcPr>
            <w:tcW w:w="8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(0.4)</w:t>
            </w:r>
          </w:p>
        </w:tc>
      </w:tr>
    </w:tbl>
    <w:p>
      <w:pPr>
        <w:spacing w:after="0" w:line="55" w:lineRule="exact"/>
        <w:rPr>
          <w:sz w:val="20"/>
          <w:szCs w:val="20"/>
          <w:color w:val="auto"/>
        </w:rPr>
      </w:pPr>
    </w:p>
    <w:p>
      <w:pPr>
        <w:ind w:left="220" w:hanging="217"/>
        <w:spacing w:after="0"/>
        <w:tabs>
          <w:tab w:leader="none" w:pos="22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Consists of the lower of cost or fair value adjustment at time of redesignation.</w:t>
      </w:r>
    </w:p>
    <w:p>
      <w:pPr>
        <w:spacing w:after="0" w:line="25" w:lineRule="exact"/>
        <w:rPr>
          <w:rFonts w:ascii="Arial" w:cs="Arial" w:eastAsia="Arial" w:hAnsi="Arial"/>
          <w:sz w:val="18"/>
          <w:szCs w:val="18"/>
          <w:color w:val="auto"/>
          <w:vertAlign w:val="superscript"/>
        </w:rPr>
      </w:pPr>
    </w:p>
    <w:p>
      <w:pPr>
        <w:ind w:left="240" w:right="200" w:hanging="237"/>
        <w:spacing w:after="0" w:line="260" w:lineRule="auto"/>
        <w:tabs>
          <w:tab w:leader="none" w:pos="233" w:val="left"/>
        </w:tabs>
        <w:numPr>
          <w:ilvl w:val="0"/>
          <w:numId w:val="38"/>
        </w:numPr>
        <w:rPr>
          <w:rFonts w:ascii="Arial" w:cs="Arial" w:eastAsia="Arial" w:hAnsi="Arial"/>
          <w:sz w:val="9"/>
          <w:szCs w:val="9"/>
          <w:color w:val="auto"/>
        </w:rPr>
      </w:pPr>
      <w:r>
        <w:rPr>
          <w:rFonts w:ascii="Arial" w:cs="Arial" w:eastAsia="Arial" w:hAnsi="Arial"/>
          <w:sz w:val="14"/>
          <w:szCs w:val="14"/>
          <w:color w:val="auto"/>
        </w:rPr>
        <w:t>Consists of gains or losses realized on the sales of nonperforming and reperforming mortgage loans during the period and temporary lower-of-cost-or-market adjustments on HFS loans, which are recognized in “Investment gains (losses), net” in our condensed consolidated statements of operations and comprehensive income.</w:t>
      </w:r>
    </w:p>
    <w:p>
      <w:pPr>
        <w:ind w:left="220" w:hanging="217"/>
        <w:spacing w:after="0"/>
        <w:tabs>
          <w:tab w:leader="none" w:pos="22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gains (losses)” divided by the average single-family conventional guaranty book of business during the period.</w:t>
      </w:r>
    </w:p>
    <w:p>
      <w:pPr>
        <w:spacing w:after="0" w:line="37" w:lineRule="exact"/>
        <w:rPr>
          <w:rFonts w:ascii="Arial" w:cs="Arial" w:eastAsia="Arial" w:hAnsi="Arial"/>
          <w:sz w:val="18"/>
          <w:szCs w:val="18"/>
          <w:color w:val="auto"/>
          <w:vertAlign w:val="superscript"/>
        </w:rPr>
      </w:pPr>
    </w:p>
    <w:p>
      <w:pPr>
        <w:ind w:left="240" w:right="240" w:hanging="237"/>
        <w:spacing w:after="0" w:line="219" w:lineRule="auto"/>
        <w:tabs>
          <w:tab w:leader="none" w:pos="233"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“Net credit gains (losses), write-offs on redesignations and gains (losses) on sales and other valuation adjustments” divided by the average single-family conventional guaranty book of business during the period.</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The primary drivers of our net credit losses, write-offs on redesignations and losses on sales and other valuation adjustments in the second quarter and first half of 2024 were write-offs on loans for which collectability was no longer reasonably assured as well as foreclosed property expense due to increased repairs on the REO properties we acquired.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7" w:name="page38"/>
    <w:bookmarkEnd w:id="37"/>
    <w:p>
      <w:pPr>
        <w:ind w:left="9360"/>
        <w:spacing w:after="0"/>
        <w:rPr>
          <w:sz w:val="20"/>
          <w:szCs w:val="20"/>
          <w:color w:val="auto"/>
        </w:rPr>
      </w:pPr>
      <w:r>
        <w:rPr>
          <w:rFonts w:ascii="Arial" w:cs="Arial" w:eastAsia="Arial" w:hAnsi="Arial"/>
          <w:sz w:val="14"/>
          <w:szCs w:val="14"/>
          <w:color w:val="05314D"/>
        </w:rPr>
        <w:t>MD&amp;A | Multifamily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Multifamily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This section supplements and updates information regarding our Multifamily business segment in our 2023 Form 10-K. See “MD&amp;A—Multifamily Business” in our 2023 Form 10-K for additional information regarding the primary business activities, lenders, investors and competition of our Multifamily business.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Mortgage Market</w:t>
      </w:r>
    </w:p>
    <w:p>
      <w:pPr>
        <w:spacing w:after="0" w:line="76"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Multifamily market fundamentals, which include factors such as vacancy rates and rent growth, improved during the second quarter of 2024, due to an increase in demand and despite elevated levels of new supply entering various markets across the country. Although the national vacancy rate is estimated to have remained steady, rent growth increased.</w:t>
      </w:r>
    </w:p>
    <w:p>
      <w:pPr>
        <w:spacing w:after="0" w:line="32" w:lineRule="exact"/>
        <w:rPr>
          <w:sz w:val="20"/>
          <w:szCs w:val="20"/>
          <w:color w:val="auto"/>
        </w:rPr>
      </w:pPr>
    </w:p>
    <w:p>
      <w:pPr>
        <w:ind w:left="620" w:right="260" w:hanging="307"/>
        <w:spacing w:after="0" w:line="281" w:lineRule="auto"/>
        <w:tabs>
          <w:tab w:leader="none" w:pos="612"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Vacancy rates</w:t>
      </w:r>
      <w:r>
        <w:rPr>
          <w:rFonts w:ascii="Arial" w:cs="Arial" w:eastAsia="Arial" w:hAnsi="Arial"/>
          <w:sz w:val="16"/>
          <w:szCs w:val="16"/>
          <w:color w:val="auto"/>
        </w:rPr>
        <w:t>. Based on preliminary third-party data, we estimate that the national multifamily vacancy rate for institutional investment-type</w:t>
      </w:r>
      <w:r>
        <w:rPr>
          <w:rFonts w:ascii="Arial" w:cs="Arial" w:eastAsia="Arial" w:hAnsi="Arial"/>
          <w:sz w:val="16"/>
          <w:szCs w:val="16"/>
          <w:i w:val="1"/>
          <w:iCs w:val="1"/>
          <w:color w:val="auto"/>
        </w:rPr>
        <w:t xml:space="preserve"> </w:t>
      </w:r>
      <w:r>
        <w:rPr>
          <w:rFonts w:ascii="Arial" w:cs="Arial" w:eastAsia="Arial" w:hAnsi="Arial"/>
          <w:sz w:val="16"/>
          <w:szCs w:val="16"/>
          <w:color w:val="auto"/>
        </w:rPr>
        <w:t>apartment properties remained steady at 6.0% as of June 30, 2024, the same as of March 31, 2024, but up from 5.8% as of June 30, 2023. The estimated average national multifamily vacancy rate over the last 15 years is approximately 5.8%.</w:t>
      </w:r>
    </w:p>
    <w:p>
      <w:pPr>
        <w:spacing w:after="0" w:line="37" w:lineRule="exact"/>
        <w:rPr>
          <w:rFonts w:ascii="Arial" w:cs="Arial" w:eastAsia="Arial" w:hAnsi="Arial"/>
          <w:sz w:val="16"/>
          <w:szCs w:val="16"/>
          <w:color w:val="auto"/>
        </w:rPr>
      </w:pPr>
    </w:p>
    <w:p>
      <w:pPr>
        <w:ind w:left="620" w:right="320" w:hanging="307"/>
        <w:spacing w:after="0" w:line="278" w:lineRule="auto"/>
        <w:tabs>
          <w:tab w:leader="none" w:pos="616" w:val="left"/>
        </w:tabs>
        <w:numPr>
          <w:ilvl w:val="0"/>
          <w:numId w:val="39"/>
        </w:numPr>
        <w:rPr>
          <w:rFonts w:ascii="Arial" w:cs="Arial" w:eastAsia="Arial" w:hAnsi="Arial"/>
          <w:sz w:val="17"/>
          <w:szCs w:val="17"/>
          <w:color w:val="auto"/>
        </w:rPr>
      </w:pPr>
      <w:r>
        <w:rPr>
          <w:rFonts w:ascii="Arial" w:cs="Arial" w:eastAsia="Arial" w:hAnsi="Arial"/>
          <w:sz w:val="16"/>
          <w:szCs w:val="16"/>
          <w:i w:val="1"/>
          <w:iCs w:val="1"/>
          <w:color w:val="auto"/>
        </w:rPr>
        <w:t>Rents</w:t>
      </w:r>
      <w:r>
        <w:rPr>
          <w:rFonts w:ascii="Arial" w:cs="Arial" w:eastAsia="Arial" w:hAnsi="Arial"/>
          <w:sz w:val="16"/>
          <w:szCs w:val="16"/>
          <w:color w:val="auto"/>
        </w:rPr>
        <w:t>. Based on preliminary third-party data, we estimate that effective rents increased approximately 1.0% during the second quarter of 2024,</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an increase of 0.3% during the first quarter of 2024, and an increase of 1.0% during the second quarter of 2023.</w:t>
      </w:r>
    </w:p>
    <w:p>
      <w:pPr>
        <w:spacing w:after="0" w:line="50" w:lineRule="exact"/>
        <w:rPr>
          <w:sz w:val="20"/>
          <w:szCs w:val="20"/>
          <w:color w:val="auto"/>
        </w:rPr>
      </w:pPr>
    </w:p>
    <w:p>
      <w:pPr>
        <w:jc w:val="both"/>
        <w:ind w:right="60"/>
        <w:spacing w:after="0" w:line="261" w:lineRule="auto"/>
        <w:rPr>
          <w:sz w:val="20"/>
          <w:szCs w:val="20"/>
          <w:color w:val="auto"/>
        </w:rPr>
      </w:pPr>
      <w:r>
        <w:rPr>
          <w:rFonts w:ascii="Arial" w:cs="Arial" w:eastAsia="Arial" w:hAnsi="Arial"/>
          <w:sz w:val="16"/>
          <w:szCs w:val="16"/>
          <w:color w:val="auto"/>
        </w:rPr>
        <w:t>Vacancy rates and rents are important to loan performance because multifamily loans are generally repaid from the cash flows generated by the underlying property. Several years of low vacancy rates and rising rents helped to increase property values in most metropolitan areas, but that trend reversed starting in early 2023. Based on preliminary multifamily property sales data, transaction volumes for the first half of 2024 remained well below average levels.</w:t>
      </w:r>
    </w:p>
    <w:p>
      <w:pPr>
        <w:spacing w:after="0" w:line="2"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Available data suggests that multifamily property capitalization rates, the indicated rate of return on investment of a commercial property, remained steady at 5.7% in the second quarter of 2024 and are estimated to have increased by approximately 40 basis points compared with 5.3% in the second quarter of 2023.</w:t>
      </w:r>
    </w:p>
    <w:p>
      <w:pPr>
        <w:spacing w:after="0" w:line="36" w:lineRule="exact"/>
        <w:rPr>
          <w:sz w:val="20"/>
          <w:szCs w:val="20"/>
          <w:color w:val="auto"/>
        </w:rPr>
      </w:pPr>
    </w:p>
    <w:p>
      <w:pPr>
        <w:jc w:val="both"/>
        <w:ind w:right="80"/>
        <w:spacing w:after="0" w:line="293" w:lineRule="auto"/>
        <w:rPr>
          <w:sz w:val="20"/>
          <w:szCs w:val="20"/>
          <w:color w:val="auto"/>
        </w:rPr>
      </w:pPr>
      <w:r>
        <w:rPr>
          <w:rFonts w:ascii="Arial" w:cs="Arial" w:eastAsia="Arial" w:hAnsi="Arial"/>
          <w:sz w:val="16"/>
          <w:szCs w:val="16"/>
          <w:color w:val="auto"/>
        </w:rPr>
        <w:t>Multifamily construction remains elevated. There were more than 1 million rental units underway as of June 30, 2024. Based on recent historical trends, we expect between 500,000 and 550,000 units will be completed in 2024.</w:t>
      </w:r>
    </w:p>
    <w:p>
      <w:pPr>
        <w:spacing w:after="0" w:line="28" w:lineRule="exact"/>
        <w:rPr>
          <w:sz w:val="20"/>
          <w:szCs w:val="20"/>
          <w:color w:val="auto"/>
        </w:rPr>
      </w:pPr>
    </w:p>
    <w:p>
      <w:pPr>
        <w:jc w:val="both"/>
        <w:ind w:right="80"/>
        <w:spacing w:after="0" w:line="272" w:lineRule="auto"/>
        <w:rPr>
          <w:sz w:val="20"/>
          <w:szCs w:val="20"/>
          <w:color w:val="auto"/>
        </w:rPr>
      </w:pPr>
      <w:r>
        <w:rPr>
          <w:rFonts w:ascii="Arial" w:cs="Arial" w:eastAsia="Arial" w:hAnsi="Arial"/>
          <w:sz w:val="16"/>
          <w:szCs w:val="16"/>
          <w:color w:val="auto"/>
        </w:rPr>
        <w:t>We believe vacancy levels could rise later this year to 6.25%, due to elevated new construction completions. We believe that this new supply will also keep rent growth subdued in the second half of 2024, and 2024 rent growth at below-average levels, in the 1.0% to 1.5% range, especially as many renters are also dealing with higher levels of consumer debt.</w:t>
      </w:r>
    </w:p>
    <w:p>
      <w:pPr>
        <w:spacing w:after="0" w:line="32"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During the last several quarters, higher interest rates and investor yield requirements have reduced multifamily property sales transactions and placed downward pressure on multifamily property valuations. According to data from the MSCI Real Assets Commercial Property Price Index, multifamily property values declined nearly 20% from the peak in July 2022 to June 2024. We believe that with continued high interest rates, elevated new supply completions, and higher-than-average vacancy rates, multifamily sales activity will remain subdued in the near term, which could result in additional declines in multifamily property values over the short term. Over the longer term, however, we expect sales and valuations will improve due to expected improvements in multifamily housing market fundamentals stemming from positive demographic trends and ongoing job growth.</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35</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8" w:name="page39"/>
    <w:bookmarkEnd w:id="38"/>
    <w:p>
      <w:pPr>
        <w:ind w:left="7520"/>
        <w:spacing w:after="0"/>
        <w:rPr>
          <w:sz w:val="20"/>
          <w:szCs w:val="20"/>
          <w:color w:val="auto"/>
        </w:rPr>
      </w:pPr>
      <w:r>
        <w:rPr>
          <w:rFonts w:ascii="Arial" w:cs="Arial" w:eastAsia="Arial" w:hAnsi="Arial"/>
          <w:sz w:val="14"/>
          <w:szCs w:val="14"/>
          <w:color w:val="05314D"/>
        </w:rPr>
        <w:t>MD&amp;A | Multifamily Business | Multifamily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Business Metrics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New Business Volume</w:t>
      </w:r>
    </w:p>
    <w:p>
      <w:pPr>
        <w:spacing w:after="0" w:line="80"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Through the secondary mortgage market, we support rental housing for the workforce population, for senior citizens and students, and for households with the greatest economic need. Over 95% of the multifamily units we financed in the second quarter of 2024 that were potentially eligible for housing goals credit were affordable to those earning at or below 120% of the median income in their area, providing support for both workforce housing and affordable housing. See “MD&amp;A—Multifamily Business—Multifamily Primary Business Activities—Multifamily Activities Supporting Affordable Rental Housing” in our 2023 Form 10-K for additional information about how we support the U.S. multifamily housing market, including a description of our equity investments in low income housing tax credit (“LIHTC”) projects.</w:t>
      </w:r>
    </w:p>
    <w:p>
      <w:pPr>
        <w:spacing w:after="0" w:line="132"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Multifamily New Business Volume</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203835</wp:posOffset>
            </wp:positionV>
            <wp:extent cx="5460365" cy="16370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6036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40" w:right="80" w:hanging="237"/>
        <w:spacing w:after="0" w:line="226" w:lineRule="auto"/>
        <w:tabs>
          <w:tab w:leader="none" w:pos="233"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Reflects unpaid principal balance of multifamily Fannie Mae MBS issued, multifamily loans purchased, and credit enhancements provided on multifamily mortgage assets during the period.</w:t>
      </w:r>
    </w:p>
    <w:p>
      <w:pPr>
        <w:spacing w:after="0" w:line="14" w:lineRule="exact"/>
        <w:rPr>
          <w:rFonts w:ascii="Arial" w:cs="Arial" w:eastAsia="Arial" w:hAnsi="Arial"/>
          <w:sz w:val="18"/>
          <w:szCs w:val="18"/>
          <w:color w:val="auto"/>
          <w:vertAlign w:val="superscript"/>
        </w:rPr>
      </w:pPr>
    </w:p>
    <w:p>
      <w:pPr>
        <w:ind w:left="240" w:right="620" w:hanging="237"/>
        <w:spacing w:after="0" w:line="278" w:lineRule="auto"/>
        <w:tabs>
          <w:tab w:leader="none" w:pos="233" w:val="left"/>
        </w:tabs>
        <w:numPr>
          <w:ilvl w:val="0"/>
          <w:numId w:val="40"/>
        </w:numPr>
        <w:rPr>
          <w:rFonts w:ascii="Arial" w:cs="Arial" w:eastAsia="Arial" w:hAnsi="Arial"/>
          <w:sz w:val="9"/>
          <w:szCs w:val="9"/>
          <w:color w:val="auto"/>
        </w:rPr>
      </w:pPr>
      <w:r>
        <w:rPr>
          <w:rFonts w:ascii="Arial" w:cs="Arial" w:eastAsia="Arial" w:hAnsi="Arial"/>
          <w:sz w:val="14"/>
          <w:szCs w:val="14"/>
          <w:color w:val="auto"/>
        </w:rPr>
        <w:t>Reflects new units financed by first liens; excludes second liens on units for which we had financed the first lien, as well as manufactured housing rentals. Second liens and manufactured housing rentals are included in unpaid principal balance.</w:t>
      </w:r>
    </w:p>
    <w:p>
      <w:pPr>
        <w:spacing w:after="0" w:line="51" w:lineRule="exact"/>
        <w:rPr>
          <w:sz w:val="20"/>
          <w:szCs w:val="20"/>
          <w:color w:val="auto"/>
        </w:rPr>
      </w:pPr>
    </w:p>
    <w:p>
      <w:pPr>
        <w:ind w:right="340"/>
        <w:spacing w:after="0" w:line="271" w:lineRule="auto"/>
        <w:rPr>
          <w:sz w:val="20"/>
          <w:szCs w:val="20"/>
          <w:color w:val="auto"/>
        </w:rPr>
      </w:pPr>
      <w:r>
        <w:rPr>
          <w:rFonts w:ascii="Arial" w:cs="Arial" w:eastAsia="Arial" w:hAnsi="Arial"/>
          <w:sz w:val="16"/>
          <w:szCs w:val="16"/>
          <w:color w:val="auto"/>
        </w:rPr>
        <w:t>Multifamily business volumes declined in the first half of 2024 compared with the first half of 2023, reflecting low overall multifamily market volumes and increased competition. For 2024, FHFA has capped our multifamily loan purchases at $70 billion. FHFA requires that a minimum of 50% of our 2024 multifamily loan purchases must be mission-driven, focused on specified affordable and underserved market segments. For 2024, FHFA has exempted from the volume cap loans financing workforce housing properties meeting specified criteria that preserve long-term affordability for the properties.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9" w:name="page40"/>
    <w:bookmarkEnd w:id="39"/>
    <w:p>
      <w:pPr>
        <w:ind w:left="7520"/>
        <w:spacing w:after="0"/>
        <w:rPr>
          <w:sz w:val="20"/>
          <w:szCs w:val="20"/>
          <w:color w:val="auto"/>
        </w:rPr>
      </w:pPr>
      <w:r>
        <w:rPr>
          <w:rFonts w:ascii="Arial" w:cs="Arial" w:eastAsia="Arial" w:hAnsi="Arial"/>
          <w:sz w:val="14"/>
          <w:szCs w:val="14"/>
          <w:color w:val="05314D"/>
        </w:rPr>
        <w:t>MD&amp;A | Multifamily Business | Multifamily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Guaranty Book of Business and Average Charged Guaranty Fee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displays the unpaid principal balance and average charged guaranty fee related to our multifamily guaranty book of business.</w:t>
      </w:r>
    </w:p>
    <w:p>
      <w:pPr>
        <w:spacing w:after="0" w:line="75"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 xml:space="preserve">Multifamily Guaranty Book of Business </w:t>
      </w:r>
      <w:r>
        <w:rPr>
          <w:rFonts w:ascii="Georgia" w:cs="Georgia" w:eastAsia="Georgia" w:hAnsi="Georgia"/>
          <w:sz w:val="19"/>
          <w:szCs w:val="19"/>
          <w:b w:val="1"/>
          <w:bCs w:val="1"/>
          <w:color w:val="05314D"/>
        </w:rPr>
        <w:t>and Charged Fee</w:t>
      </w:r>
      <w:r>
        <w:rPr>
          <w:rFonts w:ascii="Georgia" w:cs="Georgia" w:eastAsia="Georgia" w:hAnsi="Georgia"/>
          <w:sz w:val="24"/>
          <w:szCs w:val="24"/>
          <w:b w:val="1"/>
          <w:bCs w:val="1"/>
          <w:color w:val="05314D"/>
          <w:vertAlign w:val="superscript"/>
        </w:rPr>
        <w:t>(1</w:t>
      </w:r>
      <w:r>
        <w:rPr>
          <w:rFonts w:ascii="Georgia" w:cs="Georgia" w:eastAsia="Georgia" w:hAnsi="Georgia"/>
          <w:sz w:val="24"/>
          <w:szCs w:val="24"/>
          <w:b w:val="1"/>
          <w:bCs w:val="1"/>
          <w:color w:val="001543"/>
          <w:vertAlign w:val="superscript"/>
        </w:rPr>
        <w:t>)</w:t>
      </w:r>
    </w:p>
    <w:p>
      <w:pPr>
        <w:jc w:val="center"/>
        <w:spacing w:after="0" w:line="237" w:lineRule="auto"/>
        <w:rPr>
          <w:sz w:val="20"/>
          <w:szCs w:val="20"/>
          <w:color w:val="auto"/>
        </w:rPr>
      </w:pPr>
      <w:r>
        <w:rPr>
          <w:rFonts w:ascii="Georgia" w:cs="Georgia" w:eastAsia="Georgia" w:hAnsi="Georgia"/>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64770</wp:posOffset>
            </wp:positionV>
            <wp:extent cx="5501005" cy="1964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01005" cy="196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40" w:hanging="237"/>
        <w:spacing w:after="0" w:line="233" w:lineRule="auto"/>
        <w:tabs>
          <w:tab w:leader="none" w:pos="233"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For information reported in this “Multifamily Business” section, our multifamily guaranty book of business is measured using the unpaid principal balance of mortgage loans underlying Fannie Mae MBS. By contrast, the multifamily guaranty book of business presented in the “Composition of Fannie Mae Guaranty Book of Business” table in the “Guaranty Book of Business” section is based on the unpaid principal balance of Fannie Mae MBS outstanding. These amounts differ primarily as a result of payments we receive on underlying loans that have not yet been paid to the MBS holders.</w:t>
      </w:r>
    </w:p>
    <w:p>
      <w:pPr>
        <w:spacing w:after="0" w:line="26" w:lineRule="exact"/>
        <w:rPr>
          <w:rFonts w:ascii="Arial" w:cs="Arial" w:eastAsia="Arial" w:hAnsi="Arial"/>
          <w:sz w:val="18"/>
          <w:szCs w:val="18"/>
          <w:color w:val="auto"/>
          <w:vertAlign w:val="superscript"/>
        </w:rPr>
      </w:pPr>
    </w:p>
    <w:p>
      <w:pPr>
        <w:jc w:val="both"/>
        <w:ind w:left="240" w:right="100" w:hanging="237"/>
        <w:spacing w:after="0" w:line="233" w:lineRule="auto"/>
        <w:tabs>
          <w:tab w:leader="none" w:pos="233"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Our multifamily guaranty book of business primarily consists of multifamily mortgage loans underlying Fannie Mae MBS outstanding, multifamily mortgage loans of Fannie Mae held in our retained mortgage portfolio, and other credit enhancements that we provide on multifamily mortgage assets. It does not include non-Fannie Mae multifamily mortgage-related securities held in our retained mortgage portfolio for which we do not provide a guaranty.</w:t>
      </w:r>
    </w:p>
    <w:p>
      <w:pPr>
        <w:spacing w:after="0" w:line="65"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color w:val="auto"/>
        </w:rPr>
        <w:t>Our multifamily guaranty book of business grew to $480.1 billion as of June 30, 2024, a 6% increase from June 30, 2023, driven by our acquisitions combined with low prepayment volumes due to the high interest rate environment.</w:t>
      </w:r>
    </w:p>
    <w:p>
      <w:pPr>
        <w:spacing w:after="0" w:line="2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Our average charged guaranty fee represents the return we earn as compensation for the credit risk we assume on our multifamily guaranty book of business. The average charged guaranty fee on our multifamily guaranty book of business decreased as of June 30, 2024 compared with June 30, 2023 due to lower average charged fees on our acquisitions for the second half of 2023 and the first half of 2024 as compared with the existing loans in our multifamily guaranty book of business. Our guaranty fee is impacted by the rate at which loans in our book of business turn over as well as the guaranty fees we charge on new business volumes, which are set at the time we acquire the loans. Our multifamily guaranty fee pricing is based on the individual credit risk characteristics of the loans we acquire and the overall composition of our multifamily guaranty book of business. Our multifamily guaranty fee pricing is also influenced by external forces, such as the availability and cost of other sources of liquidity, our mission-related goals, the FHFA volume cap, interest rates, and MBS spreads.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37</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0" w:name="page41"/>
    <w:bookmarkEnd w:id="40"/>
    <w:p>
      <w:pPr>
        <w:ind w:left="6920"/>
        <w:spacing w:after="0"/>
        <w:rPr>
          <w:sz w:val="20"/>
          <w:szCs w:val="20"/>
          <w:color w:val="auto"/>
        </w:rPr>
      </w:pPr>
      <w:r>
        <w:rPr>
          <w:rFonts w:ascii="Arial" w:cs="Arial" w:eastAsia="Arial" w:hAnsi="Arial"/>
          <w:sz w:val="14"/>
          <w:szCs w:val="14"/>
          <w:color w:val="05314D"/>
        </w:rPr>
        <w:t>MD&amp;A | Multifamily Business | Multifamily Business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Business Financial Results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a discussion of the primary components of net income for our Multifamily Business.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Business Financial Results</w:t>
      </w:r>
      <w:r>
        <w:rPr>
          <w:rFonts w:ascii="Arial" w:cs="Arial" w:eastAsia="Arial" w:hAnsi="Arial"/>
          <w:sz w:val="24"/>
          <w:szCs w:val="24"/>
          <w:b w:val="1"/>
          <w:bCs w:val="1"/>
          <w:color w:val="05314D"/>
          <w:vertAlign w:val="superscript"/>
        </w:rPr>
        <w:t>(1)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780" w:type="dxa"/>
            <w:vAlign w:val="bottom"/>
            <w:tcBorders>
              <w:top w:val="single" w:sz="8" w:color="2C6937"/>
            </w:tcBorders>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2160" w:type="dxa"/>
            <w:vAlign w:val="bottom"/>
            <w:tcBorders>
              <w:top w:val="single" w:sz="8" w:color="2C6937"/>
            </w:tcBorders>
            <w:gridSpan w:val="6"/>
          </w:tcPr>
          <w:p>
            <w:pPr>
              <w:ind w:left="80"/>
              <w:spacing w:after="0" w:line="151" w:lineRule="exact"/>
              <w:rPr>
                <w:sz w:val="20"/>
                <w:szCs w:val="20"/>
                <w:color w:val="auto"/>
              </w:rPr>
            </w:pPr>
            <w:r>
              <w:rPr>
                <w:rFonts w:ascii="Arial" w:cs="Arial" w:eastAsia="Arial" w:hAnsi="Arial"/>
                <w:sz w:val="14"/>
                <w:szCs w:val="14"/>
                <w:b w:val="1"/>
                <w:bCs w:val="1"/>
                <w:color w:val="auto"/>
              </w:rPr>
              <w:t>For the Three Months Ended</w:t>
            </w:r>
          </w:p>
        </w:tc>
        <w:tc>
          <w:tcPr>
            <w:tcW w:w="140" w:type="dxa"/>
            <w:vAlign w:val="bottom"/>
            <w:tcBorders>
              <w:top w:val="single" w:sz="8" w:color="2C6937"/>
            </w:tcBorders>
          </w:tcPr>
          <w:p>
            <w:pPr>
              <w:spacing w:after="0"/>
              <w:rPr>
                <w:sz w:val="13"/>
                <w:szCs w:val="13"/>
                <w:color w:val="auto"/>
              </w:rPr>
            </w:pPr>
          </w:p>
        </w:tc>
        <w:tc>
          <w:tcPr>
            <w:tcW w:w="800" w:type="dxa"/>
            <w:vAlign w:val="bottom"/>
            <w:tcBorders>
              <w:top w:val="single" w:sz="8" w:color="2C6937"/>
            </w:tcBorders>
          </w:tcPr>
          <w:p>
            <w:pPr>
              <w:spacing w:after="0"/>
              <w:rPr>
                <w:sz w:val="13"/>
                <w:szCs w:val="13"/>
                <w:color w:val="auto"/>
              </w:rPr>
            </w:pPr>
          </w:p>
        </w:tc>
        <w:tc>
          <w:tcPr>
            <w:tcW w:w="140" w:type="dxa"/>
            <w:vAlign w:val="bottom"/>
            <w:tcBorders>
              <w:top w:val="single" w:sz="8" w:color="2C6937"/>
            </w:tcBorders>
          </w:tcPr>
          <w:p>
            <w:pPr>
              <w:spacing w:after="0"/>
              <w:rPr>
                <w:sz w:val="13"/>
                <w:szCs w:val="13"/>
                <w:color w:val="auto"/>
              </w:rPr>
            </w:pPr>
          </w:p>
        </w:tc>
        <w:tc>
          <w:tcPr>
            <w:tcW w:w="140" w:type="dxa"/>
            <w:vAlign w:val="bottom"/>
            <w:tcBorders>
              <w:top w:val="single" w:sz="8" w:color="2C6937"/>
            </w:tcBorders>
          </w:tcPr>
          <w:p>
            <w:pPr>
              <w:spacing w:after="0"/>
              <w:rPr>
                <w:sz w:val="13"/>
                <w:szCs w:val="13"/>
                <w:color w:val="auto"/>
              </w:rPr>
            </w:pPr>
          </w:p>
        </w:tc>
        <w:tc>
          <w:tcPr>
            <w:tcW w:w="2040" w:type="dxa"/>
            <w:vAlign w:val="bottom"/>
            <w:tcBorders>
              <w:top w:val="single" w:sz="8" w:color="2C6937"/>
            </w:tcBorders>
            <w:gridSpan w:val="5"/>
          </w:tcPr>
          <w:p>
            <w:pPr>
              <w:ind w:left="20"/>
              <w:spacing w:after="0" w:line="151" w:lineRule="exact"/>
              <w:rPr>
                <w:sz w:val="20"/>
                <w:szCs w:val="20"/>
                <w:color w:val="auto"/>
              </w:rPr>
            </w:pPr>
            <w:r>
              <w:rPr>
                <w:rFonts w:ascii="Arial" w:cs="Arial" w:eastAsia="Arial" w:hAnsi="Arial"/>
                <w:sz w:val="14"/>
                <w:szCs w:val="14"/>
                <w:b w:val="1"/>
                <w:bCs w:val="1"/>
                <w:color w:val="auto"/>
              </w:rPr>
              <w:t>For the Six Months Ended</w:t>
            </w:r>
          </w:p>
        </w:tc>
        <w:tc>
          <w:tcPr>
            <w:tcW w:w="140" w:type="dxa"/>
            <w:vAlign w:val="bottom"/>
            <w:tcBorders>
              <w:top w:val="single" w:sz="8" w:color="2C6937"/>
            </w:tcBorders>
          </w:tcPr>
          <w:p>
            <w:pPr>
              <w:spacing w:after="0"/>
              <w:rPr>
                <w:sz w:val="13"/>
                <w:szCs w:val="13"/>
                <w:color w:val="auto"/>
              </w:rPr>
            </w:pPr>
          </w:p>
        </w:tc>
        <w:tc>
          <w:tcPr>
            <w:tcW w:w="800" w:type="dxa"/>
            <w:vAlign w:val="bottom"/>
            <w:tcBorders>
              <w:top w:val="single" w:sz="8" w:color="2C6937"/>
            </w:tcBorders>
          </w:tcPr>
          <w:p>
            <w:pPr>
              <w:spacing w:after="0"/>
              <w:rPr>
                <w:sz w:val="13"/>
                <w:szCs w:val="13"/>
                <w:color w:val="auto"/>
              </w:rPr>
            </w:pPr>
          </w:p>
        </w:tc>
      </w:tr>
      <w:tr>
        <w:trPr>
          <w:trHeight w:val="177"/>
        </w:trPr>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14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2C6937"/>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2C6937"/>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5"/>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4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ind w:right="243"/>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Variance</w:t>
            </w:r>
          </w:p>
        </w:tc>
        <w:tc>
          <w:tcPr>
            <w:tcW w:w="1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4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ind w:right="22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103"/>
              <w:spacing w:after="0"/>
              <w:rPr>
                <w:sz w:val="20"/>
                <w:szCs w:val="20"/>
                <w:color w:val="auto"/>
              </w:rPr>
            </w:pPr>
            <w:r>
              <w:rPr>
                <w:rFonts w:ascii="Arial" w:cs="Arial" w:eastAsia="Arial" w:hAnsi="Arial"/>
                <w:sz w:val="14"/>
                <w:szCs w:val="14"/>
                <w:b w:val="1"/>
                <w:bCs w:val="1"/>
                <w:color w:val="auto"/>
              </w:rPr>
              <w:t>Variance</w:t>
            </w:r>
          </w:p>
        </w:tc>
      </w:tr>
      <w:tr>
        <w:trPr>
          <w:trHeight w:val="185"/>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7"/>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ind w:right="4"/>
              <w:spacing w:after="0"/>
              <w:rPr>
                <w:sz w:val="20"/>
                <w:szCs w:val="20"/>
                <w:color w:val="auto"/>
              </w:rPr>
            </w:pPr>
            <w:r>
              <w:rPr>
                <w:rFonts w:ascii="Arial" w:cs="Arial" w:eastAsia="Arial" w:hAnsi="Arial"/>
                <w:sz w:val="15"/>
                <w:szCs w:val="15"/>
                <w:b w:val="1"/>
                <w:bCs w:val="1"/>
                <w:color w:val="auto"/>
              </w:rPr>
              <w:t>1,172</w:t>
            </w:r>
          </w:p>
        </w:tc>
        <w:tc>
          <w:tcPr>
            <w:tcW w:w="14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1,118</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54</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2,321</w:t>
            </w:r>
          </w:p>
        </w:tc>
        <w:tc>
          <w:tcPr>
            <w:tcW w:w="140" w:type="dxa"/>
            <w:vAlign w:val="bottom"/>
          </w:tcPr>
          <w:p>
            <w:pPr>
              <w:spacing w:after="0"/>
              <w:rPr>
                <w:sz w:val="17"/>
                <w:szCs w:val="17"/>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2,232</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208"/>
        </w:trPr>
        <w:tc>
          <w:tcPr>
            <w:tcW w:w="47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Fee and other income</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17</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34</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w:t>
            </w:r>
          </w:p>
        </w:tc>
        <w:tc>
          <w:tcPr>
            <w:tcW w:w="16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r>
      <w:tr>
        <w:trPr>
          <w:trHeight w:val="198"/>
        </w:trPr>
        <w:tc>
          <w:tcPr>
            <w:tcW w:w="488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b w:val="1"/>
                <w:bCs w:val="1"/>
                <w:color w:val="auto"/>
              </w:rPr>
              <w:t>1,189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1,136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2,355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2,265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06"/>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06"/>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(155)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(307)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(294)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06"/>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Benefit (provision) for credit losses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(248)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(403)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(72)</w:t>
            </w:r>
          </w:p>
        </w:tc>
      </w:tr>
      <w:tr>
        <w:trPr>
          <w:trHeight w:val="221"/>
        </w:trPr>
        <w:tc>
          <w:tcPr>
            <w:tcW w:w="4880" w:type="dxa"/>
            <w:vAlign w:val="bottom"/>
            <w:gridSpan w:val="2"/>
          </w:tcPr>
          <w:p>
            <w:pPr>
              <w:ind w:left="20"/>
              <w:spacing w:after="0" w:line="221" w:lineRule="exact"/>
              <w:rPr>
                <w:sz w:val="20"/>
                <w:szCs w:val="20"/>
                <w:color w:val="auto"/>
              </w:rPr>
            </w:pPr>
            <w:r>
              <w:rPr>
                <w:rFonts w:ascii="Arial" w:cs="Arial" w:eastAsia="Arial" w:hAnsi="Arial"/>
                <w:sz w:val="15"/>
                <w:szCs w:val="15"/>
                <w:color w:val="auto"/>
              </w:rPr>
              <w:t>Credit enhancement expense</w:t>
            </w:r>
            <w:r>
              <w:rPr>
                <w:rFonts w:ascii="Arial" w:cs="Arial" w:eastAsia="Arial" w:hAnsi="Arial"/>
                <w:sz w:val="20"/>
                <w:szCs w:val="20"/>
                <w:color w:val="auto"/>
                <w:vertAlign w:val="superscript"/>
              </w:rPr>
              <w:t>(2)</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(138)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17"/>
        </w:trPr>
        <w:tc>
          <w:tcPr>
            <w:tcW w:w="4880" w:type="dxa"/>
            <w:vAlign w:val="bottom"/>
            <w:gridSpan w:val="2"/>
          </w:tcPr>
          <w:p>
            <w:pPr>
              <w:ind w:left="20"/>
              <w:spacing w:after="0" w:line="217" w:lineRule="exact"/>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20"/>
                <w:szCs w:val="20"/>
                <w:color w:val="auto"/>
                <w:vertAlign w:val="superscript"/>
              </w:rPr>
              <w:t>(3)</w:t>
            </w:r>
          </w:p>
        </w:tc>
        <w:tc>
          <w:tcPr>
            <w:tcW w:w="20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b w:val="1"/>
                <w:bCs w:val="1"/>
                <w:color w:val="auto"/>
              </w:rPr>
              <w:t>84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189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208"/>
        </w:trPr>
        <w:tc>
          <w:tcPr>
            <w:tcW w:w="478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Other expenses, net</w:t>
            </w:r>
            <w:r>
              <w:rPr>
                <w:rFonts w:ascii="Arial" w:cs="Arial" w:eastAsia="Arial" w:hAnsi="Arial"/>
                <w:sz w:val="20"/>
                <w:szCs w:val="20"/>
                <w:color w:val="auto"/>
                <w:vertAlign w:val="superscript"/>
              </w:rPr>
              <w:t>(4)</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31</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(39)</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(66)</w:t>
            </w:r>
          </w:p>
        </w:tc>
        <w:tc>
          <w:tcPr>
            <w:tcW w:w="16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27</w:t>
            </w:r>
          </w:p>
        </w:tc>
      </w:tr>
      <w:tr>
        <w:trPr>
          <w:trHeight w:val="198"/>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b w:val="1"/>
                <w:bCs w:val="1"/>
                <w:color w:val="auto"/>
              </w:rPr>
              <w:t>766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732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1,646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1,533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113</w:t>
            </w:r>
          </w:p>
        </w:tc>
      </w:tr>
      <w:tr>
        <w:trPr>
          <w:trHeight w:val="208"/>
        </w:trPr>
        <w:tc>
          <w:tcPr>
            <w:tcW w:w="47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(137)</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(132)</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(304)</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(293)</w:t>
            </w:r>
          </w:p>
        </w:tc>
        <w:tc>
          <w:tcPr>
            <w:tcW w:w="16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w:t>
            </w:r>
          </w:p>
        </w:tc>
      </w:tr>
      <w:tr>
        <w:trPr>
          <w:trHeight w:val="199"/>
        </w:trPr>
        <w:tc>
          <w:tcPr>
            <w:tcW w:w="488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ind w:right="4"/>
              <w:spacing w:after="0"/>
              <w:rPr>
                <w:sz w:val="20"/>
                <w:szCs w:val="20"/>
                <w:color w:val="auto"/>
              </w:rPr>
            </w:pPr>
            <w:r>
              <w:rPr>
                <w:rFonts w:ascii="Arial" w:cs="Arial" w:eastAsia="Arial" w:hAnsi="Arial"/>
                <w:sz w:val="15"/>
                <w:szCs w:val="15"/>
                <w:b w:val="1"/>
                <w:bCs w:val="1"/>
                <w:color w:val="auto"/>
              </w:rPr>
              <w:t>629</w:t>
            </w:r>
          </w:p>
        </w:tc>
        <w:tc>
          <w:tcPr>
            <w:tcW w:w="14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29</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1,342</w:t>
            </w:r>
          </w:p>
        </w:tc>
        <w:tc>
          <w:tcPr>
            <w:tcW w:w="140" w:type="dxa"/>
            <w:vAlign w:val="bottom"/>
          </w:tcPr>
          <w:p>
            <w:pPr>
              <w:spacing w:after="0"/>
              <w:rPr>
                <w:sz w:val="17"/>
                <w:szCs w:val="17"/>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1,240</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20"/>
        </w:trPr>
        <w:tc>
          <w:tcPr>
            <w:tcW w:w="4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See “Note 10, Segment Reporting” for information about our segment allocation methodology.</w:t>
      </w:r>
    </w:p>
    <w:p>
      <w:pPr>
        <w:spacing w:after="0" w:line="37" w:lineRule="exact"/>
        <w:rPr>
          <w:rFonts w:ascii="Arial" w:cs="Arial" w:eastAsia="Arial" w:hAnsi="Arial"/>
          <w:sz w:val="18"/>
          <w:szCs w:val="18"/>
          <w:color w:val="auto"/>
          <w:vertAlign w:val="superscript"/>
        </w:rPr>
      </w:pPr>
    </w:p>
    <w:p>
      <w:pPr>
        <w:ind w:left="240" w:right="540" w:hanging="237"/>
        <w:spacing w:after="0" w:line="219" w:lineRule="auto"/>
        <w:tabs>
          <w:tab w:leader="none" w:pos="233"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Primarily consists of costs associated with our Multifamily CIRT</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(“MCIRT</w:t>
      </w:r>
      <w:r>
        <w:rPr>
          <w:rFonts w:ascii="Arial" w:cs="Arial" w:eastAsia="Arial" w:hAnsi="Arial"/>
          <w:sz w:val="17"/>
          <w:szCs w:val="17"/>
          <w:color w:val="auto"/>
          <w:vertAlign w:val="superscript"/>
        </w:rPr>
        <w:t>TM</w:t>
      </w:r>
      <w:r>
        <w:rPr>
          <w:rFonts w:ascii="Arial" w:cs="Arial" w:eastAsia="Arial" w:hAnsi="Arial"/>
          <w:sz w:val="14"/>
          <w:szCs w:val="14"/>
          <w:color w:val="auto"/>
        </w:rPr>
        <w:t>”) and Multifamily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(“MCAS</w:t>
      </w:r>
      <w:r>
        <w:rPr>
          <w:rFonts w:ascii="Arial" w:cs="Arial" w:eastAsia="Arial" w:hAnsi="Arial"/>
          <w:sz w:val="17"/>
          <w:szCs w:val="17"/>
          <w:color w:val="auto"/>
          <w:vertAlign w:val="superscript"/>
        </w:rPr>
        <w:t>TM</w:t>
      </w:r>
      <w:r>
        <w:rPr>
          <w:rFonts w:ascii="Arial" w:cs="Arial" w:eastAsia="Arial" w:hAnsi="Arial"/>
          <w:sz w:val="14"/>
          <w:szCs w:val="14"/>
          <w:color w:val="auto"/>
        </w:rPr>
        <w:t>”) programs as well as amortization expense for certain lender risk-sharing programs.</w:t>
      </w:r>
    </w:p>
    <w:p>
      <w:pPr>
        <w:spacing w:after="0" w:line="22"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2"/>
        </w:numPr>
        <w:rPr>
          <w:rFonts w:ascii="Arial" w:cs="Arial" w:eastAsia="Arial" w:hAnsi="Arial"/>
          <w:sz w:val="17"/>
          <w:szCs w:val="17"/>
          <w:color w:val="auto"/>
          <w:vertAlign w:val="superscript"/>
        </w:rPr>
      </w:pPr>
      <w:r>
        <w:rPr>
          <w:rFonts w:ascii="Arial" w:cs="Arial" w:eastAsia="Arial" w:hAnsi="Arial"/>
          <w:sz w:val="13"/>
          <w:szCs w:val="13"/>
          <w:color w:val="auto"/>
        </w:rPr>
        <w:t>Consists of change in benefits recognized from our freestanding credit enhancements that primarily relate to our Delegated Underwriting and Servicing (“DUS</w:t>
      </w:r>
      <w:r>
        <w:rPr>
          <w:rFonts w:ascii="Arial" w:cs="Arial" w:eastAsia="Arial" w:hAnsi="Arial"/>
          <w:sz w:val="16"/>
          <w:szCs w:val="16"/>
          <w:color w:val="auto"/>
          <w:vertAlign w:val="superscript"/>
        </w:rPr>
        <w:t>®</w:t>
      </w:r>
      <w:r>
        <w:rPr>
          <w:rFonts w:ascii="Arial" w:cs="Arial" w:eastAsia="Arial" w:hAnsi="Arial"/>
          <w:sz w:val="13"/>
          <w:szCs w:val="13"/>
          <w:color w:val="auto"/>
        </w:rPr>
        <w:t>”) lender risk-sharing.</w:t>
      </w:r>
    </w:p>
    <w:p>
      <w:pPr>
        <w:spacing w:after="0" w:line="13" w:lineRule="exact"/>
        <w:rPr>
          <w:rFonts w:ascii="Arial" w:cs="Arial" w:eastAsia="Arial" w:hAnsi="Arial"/>
          <w:sz w:val="17"/>
          <w:szCs w:val="17"/>
          <w:color w:val="auto"/>
          <w:vertAlign w:val="superscript"/>
        </w:rPr>
      </w:pPr>
    </w:p>
    <w:p>
      <w:pPr>
        <w:ind w:left="240" w:right="920" w:hanging="237"/>
        <w:spacing w:after="0" w:line="260" w:lineRule="auto"/>
        <w:tabs>
          <w:tab w:leader="none" w:pos="233" w:val="left"/>
        </w:tabs>
        <w:numPr>
          <w:ilvl w:val="0"/>
          <w:numId w:val="42"/>
        </w:numPr>
        <w:rPr>
          <w:rFonts w:ascii="Arial" w:cs="Arial" w:eastAsia="Arial" w:hAnsi="Arial"/>
          <w:sz w:val="9"/>
          <w:szCs w:val="9"/>
          <w:color w:val="auto"/>
        </w:rPr>
      </w:pPr>
      <w:r>
        <w:rPr>
          <w:rFonts w:ascii="Arial" w:cs="Arial" w:eastAsia="Arial" w:hAnsi="Arial"/>
          <w:sz w:val="14"/>
          <w:szCs w:val="14"/>
          <w:color w:val="auto"/>
        </w:rPr>
        <w:t>Includes investment gains or losses, expenses associated with legal claims, foreclosed property income (expense), gains or losses from partnership investments, debt extinguishment gains or losses, and other income or expenses.</w:t>
      </w:r>
    </w:p>
    <w:p>
      <w:pPr>
        <w:spacing w:after="0" w:line="7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Net Interest Income</w:t>
      </w:r>
    </w:p>
    <w:p>
      <w:pPr>
        <w:spacing w:after="0" w:line="80" w:lineRule="exact"/>
        <w:rPr>
          <w:sz w:val="20"/>
          <w:szCs w:val="20"/>
          <w:color w:val="auto"/>
        </w:rPr>
      </w:pPr>
    </w:p>
    <w:p>
      <w:pPr>
        <w:jc w:val="both"/>
        <w:ind w:right="200"/>
        <w:spacing w:after="0" w:line="272" w:lineRule="auto"/>
        <w:rPr>
          <w:sz w:val="20"/>
          <w:szCs w:val="20"/>
          <w:color w:val="auto"/>
        </w:rPr>
      </w:pPr>
      <w:r>
        <w:rPr>
          <w:rFonts w:ascii="Arial" w:cs="Arial" w:eastAsia="Arial" w:hAnsi="Arial"/>
          <w:sz w:val="16"/>
          <w:szCs w:val="16"/>
          <w:color w:val="auto"/>
        </w:rPr>
        <w:t>Net interest income increased in the second quarter and first half of 2024 compared with the second quarter and first half of 2023 due to higher guaranty fee income as a result of an increase in the size of our multifamily guaranty book of business, partially offset by lower average charged guaranty fees and lower yield maintenance income from fewer prepayments.</w:t>
      </w:r>
    </w:p>
    <w:p>
      <w:pPr>
        <w:spacing w:after="0" w:line="71"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Benefit (Provision) for Credit Losses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See “Consolidated Results of Operations—Benefit (Provision) for Credit Losses” for a discussion of our multifamily provision for credit losses.</w:t>
      </w:r>
    </w:p>
    <w:p>
      <w:pPr>
        <w:spacing w:after="0" w:line="12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Change in Expected Credit Enhancement Recoveries</w:t>
      </w:r>
    </w:p>
    <w:p>
      <w:pPr>
        <w:spacing w:after="0" w:line="80"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color w:val="auto"/>
        </w:rPr>
        <w:t>Change in expected credit enhancement recoveries in the first half of 2024 was primarily driven by a provision for credit losses. As a result of our risk-sharing arrangements, the increase in our multifamily provision for credit losses increased our multifamily credit enhancement receivable.</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Mortgage Credit Risk Management</w:t>
      </w:r>
    </w:p>
    <w:p>
      <w:pPr>
        <w:spacing w:after="0" w:line="63"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This section supplements and updates our discussion of multifamily mortgage credit risk management in our 2023 Form 10-K in “MD&amp;A—Multifamily Business—Multifamily Mortgage Credit Risk Management.” For additional information on the primary components of our strategy for managing multifamily credit risk, the factors that influence the credit risk profile of our multifamily guaranty book of business, our multifamily acquisition policy and underwriting standards, our multifamily guaranty book diversification and monitoring, and our front-end credit risk sharing, see “MD&amp;A—Multifamily Business— Multifamily Mortgage Credit Risk Management” in our 2023 Form 10-K.</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1" w:name="page42"/>
    <w:bookmarkEnd w:id="41"/>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Guaranty Book Diversification and Monitoring</w:t>
      </w:r>
    </w:p>
    <w:p>
      <w:pPr>
        <w:spacing w:after="0" w:line="8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As part of our ongoing credit risk management process, we and our lenders monitor the performance and risk characteristics of our multifamily loans and the underlying properties on an ongoing basis throughout the loan term at the asset and portfolio level. We generally require lenders to provide quarterly and/or annual financial updates for multifamily loans. We closely monitor loans that are higher risk, including loans with an estimated current debt service coverage ratio (“DSCR”) below 1.0, as that is an indicator of heightened default risk. We also monitor property condition, through physical site inspections at loan origination, ongoing review of servicer-submitted property inspection reports through the life of the loan, and additional third-party inspection requirements for some higher risk transactions. When concerns arise, we have a dedicated team that actively engages with our lenders and borrowers to seek remediation of the identified issues. Failure to perform repairs may result in a default under the loan documents.</w:t>
      </w:r>
    </w:p>
    <w:p>
      <w:pPr>
        <w:spacing w:after="0" w:line="43"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In response to recent instances of multifamily lending transactions in which one or more of the parties involved engaged in mortgage fraud or possible mortgage fraud, we are reviewing our standards and requirements. We have implemented changes to reinforce and clarify our requirements for sellers and servicers, including specifying certain high-risk activities that require their oversight. We continue to examine recent instances of actual and potential mortgage fraud and consider additional ways to reduce the risk from fraudulent practices. See “Risk Factors—Credit Risk” in our 2023 Form 10-K for a discussion of risks related to mortgage fraud.</w:t>
      </w:r>
    </w:p>
    <w:p>
      <w:pPr>
        <w:spacing w:after="0" w:line="3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manage our exposure to interest-rate risk and monitor changes in interest rates, which can impact multiple aspects of our multifamily loans. We remained in a higher interest-rate environment in the first half of 2024. High interest rates may reduce the ability of multifamily borrowers to refinance their loans, which often have balloon balances at maturity. We provide information on the maturity schedule of our multifamily loans in “MD&amp;A—Multifamily Business—Multifamily Mortgage Credit Risk Management—Multifamily Maturity Information” in our 2023 Form 10-K and in quarterly financial supplements, which we furnish to the SEC with current reports on Form 8-K and make available on our website.</w:t>
      </w:r>
    </w:p>
    <w:p>
      <w:pPr>
        <w:spacing w:after="0" w:line="3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Additionally, in a high interest-rate environment, multifamily borrowers with adjustable-rate mortgages will have higher monthly payments, which may lower their DSCRs. We generally require multifamily borrowers with adjustable-rate mortgages to purchase and maintain interest rate caps for the life of the loan to protect against large movements in rates as well as maintain escrows at our servicers to reserve for the cost of replacing these caps. Purchasing or replacing required interest rate caps, especially those with longer terms and/or lower capped interest rates, becomes more expensive as interest rates rise. These costs, which have been elevated since mid-2022, combined with the higher monthly payments, have added pressure to borrowers’ ability to make payments and contributed to our elevated multifamily serious delinquency rate and criticized loan population. In the recent high interest rate environment, most multifamily borrowers with adjustable-rate mortgages have been receiving payments from their interest rate cap providers, which helps to defray the higher cost of debt service and escrow payments. We actively monitor these interest-rate related risks as part of our risk management process.</w:t>
      </w:r>
    </w:p>
    <w:p>
      <w:pPr>
        <w:spacing w:after="0" w:line="43"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We also monitor for risks manifesting within specific property types. A property type we continue to monitor closely is seniors housing, which in Fannie Mae’s book of business is primarily comprised of independent living and assisted living facilities, some of which may have a limited capacity devoted to memory care. Seniors housing loans constituted 3% of our multifamily guaranty book of business as of June 30, 2024, based on unpaid principal balance, of which 31% were adjustable-rate mortgages. We continue to monitor seniors housing loans in our multifamily guaranty book of business closely and actively manage loans that may be at risk of further deterioration or default.</w:t>
      </w:r>
    </w:p>
    <w:p>
      <w:pPr>
        <w:spacing w:after="0" w:line="3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following table displays our multifamily business volumes and our multifamily guaranty book of business, based on certain key risk characteristics that we use to evaluate the risk profile and credit quality of our multifamily loans. For information on our multifamily acquisition policy and underwriting standards, see “MD&amp;A—Multifamily Business—Multifamily Mortgage Credit Risk Management—Multifamily Acquisition Policy and Underwriting Standards” in our 2023 Form 10-K.</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2" w:name="page43"/>
    <w:bookmarkEnd w:id="42"/>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60"/>
        <w:spacing w:after="0" w:line="272" w:lineRule="auto"/>
        <w:rPr>
          <w:sz w:val="20"/>
          <w:szCs w:val="20"/>
          <w:color w:val="auto"/>
        </w:rPr>
      </w:pPr>
      <w:r>
        <w:rPr>
          <w:rFonts w:ascii="Arial" w:cs="Arial" w:eastAsia="Arial" w:hAnsi="Arial"/>
          <w:sz w:val="16"/>
          <w:szCs w:val="16"/>
          <w:color w:val="auto"/>
        </w:rPr>
        <w:t>We provide additional information on the credit characteristics of our multifamily loans in quarterly financial supplements, which we furnish to the SEC with current reports on Form 8-K and make available on our website. Information in our quarterly financial supplements is not incorporated by reference into this report.</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Multifamily Business Volume and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20" w:type="dxa"/>
            <w:vAlign w:val="bottom"/>
            <w:gridSpan w:val="9"/>
          </w:tcPr>
          <w:p>
            <w:pPr>
              <w:jc w:val="center"/>
              <w:ind w:left="11"/>
              <w:spacing w:after="0"/>
              <w:rPr>
                <w:sz w:val="20"/>
                <w:szCs w:val="20"/>
                <w:color w:val="auto"/>
              </w:rPr>
            </w:pPr>
            <w:r>
              <w:rPr>
                <w:rFonts w:ascii="Arial" w:cs="Arial" w:eastAsia="Arial" w:hAnsi="Arial"/>
                <w:sz w:val="14"/>
                <w:szCs w:val="14"/>
                <w:b w:val="1"/>
                <w:bCs w:val="1"/>
                <w:color w:val="auto"/>
                <w:w w:val="96"/>
              </w:rPr>
              <w:t>Multifamily Business Volume at Acquisition</w:t>
            </w:r>
            <w:r>
              <w:rPr>
                <w:rFonts w:ascii="Arial" w:cs="Arial" w:eastAsia="Arial" w:hAnsi="Arial"/>
                <w:sz w:val="17"/>
                <w:szCs w:val="17"/>
                <w:b w:val="1"/>
                <w:bCs w:val="1"/>
                <w:color w:val="auto"/>
                <w:w w:val="96"/>
                <w:vertAlign w:val="superscript"/>
              </w:rPr>
              <w:t>(1)</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2C6937"/>
            </w:tcBorders>
          </w:tcPr>
          <w:p>
            <w:pPr>
              <w:spacing w:after="0"/>
              <w:rPr>
                <w:sz w:val="3"/>
                <w:szCs w:val="3"/>
                <w:color w:val="auto"/>
              </w:rPr>
            </w:pPr>
          </w:p>
        </w:tc>
        <w:tc>
          <w:tcPr>
            <w:tcW w:w="320" w:type="dxa"/>
            <w:vAlign w:val="bottom"/>
            <w:tcBorders>
              <w:bottom w:val="single" w:sz="8" w:color="2C6937"/>
            </w:tcBorders>
          </w:tcPr>
          <w:p>
            <w:pPr>
              <w:spacing w:after="0"/>
              <w:rPr>
                <w:sz w:val="3"/>
                <w:szCs w:val="3"/>
                <w:color w:val="auto"/>
              </w:rPr>
            </w:pPr>
          </w:p>
        </w:tc>
        <w:tc>
          <w:tcPr>
            <w:tcW w:w="240" w:type="dxa"/>
            <w:vAlign w:val="bottom"/>
            <w:tcBorders>
              <w:bottom w:val="single" w:sz="8" w:color="2C6937"/>
            </w:tcBorders>
          </w:tcPr>
          <w:p>
            <w:pPr>
              <w:spacing w:after="0"/>
              <w:rPr>
                <w:sz w:val="3"/>
                <w:szCs w:val="3"/>
                <w:color w:val="auto"/>
              </w:rPr>
            </w:pPr>
          </w:p>
        </w:tc>
        <w:tc>
          <w:tcPr>
            <w:tcW w:w="240" w:type="dxa"/>
            <w:vAlign w:val="bottom"/>
            <w:tcBorders>
              <w:bottom w:val="single" w:sz="8" w:color="2C6937"/>
            </w:tcBorders>
          </w:tcPr>
          <w:p>
            <w:pPr>
              <w:spacing w:after="0"/>
              <w:rPr>
                <w:sz w:val="3"/>
                <w:szCs w:val="3"/>
                <w:color w:val="auto"/>
              </w:rPr>
            </w:pPr>
          </w:p>
        </w:tc>
        <w:tc>
          <w:tcPr>
            <w:tcW w:w="720" w:type="dxa"/>
            <w:vAlign w:val="bottom"/>
            <w:tcBorders>
              <w:bottom w:val="single" w:sz="8" w:color="2C6937"/>
            </w:tcBorders>
          </w:tcPr>
          <w:p>
            <w:pPr>
              <w:spacing w:after="0"/>
              <w:rPr>
                <w:sz w:val="3"/>
                <w:szCs w:val="3"/>
                <w:color w:val="auto"/>
              </w:rPr>
            </w:pPr>
          </w:p>
        </w:tc>
        <w:tc>
          <w:tcPr>
            <w:tcW w:w="260" w:type="dxa"/>
            <w:vAlign w:val="bottom"/>
            <w:tcBorders>
              <w:bottom w:val="single" w:sz="8" w:color="2C6937"/>
            </w:tcBorders>
          </w:tcPr>
          <w:p>
            <w:pPr>
              <w:spacing w:after="0"/>
              <w:rPr>
                <w:sz w:val="3"/>
                <w:szCs w:val="3"/>
                <w:color w:val="auto"/>
              </w:rPr>
            </w:pPr>
          </w:p>
        </w:tc>
        <w:tc>
          <w:tcPr>
            <w:tcW w:w="200" w:type="dxa"/>
            <w:vAlign w:val="bottom"/>
            <w:tcBorders>
              <w:bottom w:val="single" w:sz="8" w:color="2C6937"/>
            </w:tcBorders>
          </w:tcPr>
          <w:p>
            <w:pPr>
              <w:spacing w:after="0"/>
              <w:rPr>
                <w:sz w:val="3"/>
                <w:szCs w:val="3"/>
                <w:color w:val="auto"/>
              </w:rPr>
            </w:pPr>
          </w:p>
        </w:tc>
        <w:tc>
          <w:tcPr>
            <w:tcW w:w="760" w:type="dxa"/>
            <w:vAlign w:val="bottom"/>
            <w:tcBorders>
              <w:bottom w:val="single" w:sz="8" w:color="2C6937"/>
            </w:tcBorders>
          </w:tcPr>
          <w:p>
            <w:pPr>
              <w:spacing w:after="0"/>
              <w:rPr>
                <w:sz w:val="3"/>
                <w:szCs w:val="3"/>
                <w:color w:val="auto"/>
              </w:rPr>
            </w:pPr>
          </w:p>
        </w:tc>
        <w:tc>
          <w:tcPr>
            <w:tcW w:w="240" w:type="dxa"/>
            <w:vAlign w:val="bottom"/>
            <w:tcBorders>
              <w:bottom w:val="single" w:sz="8" w:color="2C6937"/>
            </w:tcBorders>
          </w:tcPr>
          <w:p>
            <w:pPr>
              <w:spacing w:after="0"/>
              <w:rPr>
                <w:sz w:val="3"/>
                <w:szCs w:val="3"/>
                <w:color w:val="auto"/>
              </w:rPr>
            </w:pPr>
          </w:p>
        </w:tc>
        <w:tc>
          <w:tcPr>
            <w:tcW w:w="240" w:type="dxa"/>
            <w:vAlign w:val="bottom"/>
            <w:tcBorders>
              <w:bottom w:val="single" w:sz="8" w:color="2C6937"/>
            </w:tcBorders>
          </w:tcPr>
          <w:p>
            <w:pPr>
              <w:spacing w:after="0"/>
              <w:rPr>
                <w:sz w:val="3"/>
                <w:szCs w:val="3"/>
                <w:color w:val="auto"/>
              </w:rPr>
            </w:pPr>
          </w:p>
        </w:tc>
        <w:tc>
          <w:tcPr>
            <w:tcW w:w="740" w:type="dxa"/>
            <w:vAlign w:val="bottom"/>
            <w:tcBorders>
              <w:bottom w:val="single" w:sz="8" w:color="2C6937"/>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80" w:type="dxa"/>
            <w:vAlign w:val="bottom"/>
            <w:gridSpan w:val="4"/>
            <w:vMerge w:val="restart"/>
          </w:tcPr>
          <w:p>
            <w:pPr>
              <w:jc w:val="center"/>
              <w:ind w:left="531"/>
              <w:spacing w:after="0" w:line="155" w:lineRule="exact"/>
              <w:rPr>
                <w:sz w:val="20"/>
                <w:szCs w:val="20"/>
                <w:color w:val="auto"/>
              </w:rPr>
            </w:pPr>
            <w:r>
              <w:rPr>
                <w:rFonts w:ascii="Arial" w:cs="Arial" w:eastAsia="Arial" w:hAnsi="Arial"/>
                <w:sz w:val="14"/>
                <w:szCs w:val="14"/>
                <w:b w:val="1"/>
                <w:bCs w:val="1"/>
                <w:color w:val="auto"/>
                <w:w w:val="98"/>
              </w:rPr>
              <w:t>Multifamily</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7"/>
              </w:rPr>
              <w:t>For the Three Months Ended</w:t>
            </w:r>
          </w:p>
        </w:tc>
        <w:tc>
          <w:tcPr>
            <w:tcW w:w="260" w:type="dxa"/>
            <w:vAlign w:val="bottom"/>
          </w:tcPr>
          <w:p>
            <w:pPr>
              <w:spacing w:after="0"/>
              <w:rPr>
                <w:sz w:val="8"/>
                <w:szCs w:val="8"/>
                <w:color w:val="auto"/>
              </w:rPr>
            </w:pPr>
          </w:p>
        </w:tc>
        <w:tc>
          <w:tcPr>
            <w:tcW w:w="2180" w:type="dxa"/>
            <w:vAlign w:val="bottom"/>
            <w:gridSpan w:val="5"/>
            <w:vMerge w:val="restart"/>
          </w:tcPr>
          <w:p>
            <w:pPr>
              <w:jc w:val="right"/>
              <w:ind w:right="11"/>
              <w:spacing w:after="0"/>
              <w:rPr>
                <w:sz w:val="20"/>
                <w:szCs w:val="20"/>
                <w:color w:val="auto"/>
              </w:rPr>
            </w:pPr>
            <w:r>
              <w:rPr>
                <w:rFonts w:ascii="Arial" w:cs="Arial" w:eastAsia="Arial" w:hAnsi="Arial"/>
                <w:sz w:val="14"/>
                <w:szCs w:val="14"/>
                <w:b w:val="1"/>
                <w:bCs w:val="1"/>
                <w:color w:val="auto"/>
                <w:w w:val="99"/>
              </w:rPr>
              <w:t>For the Six Months Ended June</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80" w:type="dxa"/>
            <w:vAlign w:val="bottom"/>
            <w:gridSpan w:val="4"/>
            <w:vMerge w:val="continue"/>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40" w:type="dxa"/>
            <w:vAlign w:val="bottom"/>
            <w:gridSpan w:val="5"/>
          </w:tcPr>
          <w:p>
            <w:pPr>
              <w:jc w:val="center"/>
              <w:ind w:right="71"/>
              <w:spacing w:after="0" w:line="139" w:lineRule="exact"/>
              <w:rPr>
                <w:sz w:val="20"/>
                <w:szCs w:val="20"/>
                <w:color w:val="auto"/>
              </w:rPr>
            </w:pPr>
            <w:r>
              <w:rPr>
                <w:rFonts w:ascii="Arial" w:cs="Arial" w:eastAsia="Arial" w:hAnsi="Arial"/>
                <w:sz w:val="14"/>
                <w:szCs w:val="14"/>
                <w:b w:val="1"/>
                <w:bCs w:val="1"/>
                <w:color w:val="auto"/>
                <w:w w:val="98"/>
              </w:rPr>
              <w:t>Guaranty Book of Business</w:t>
            </w:r>
            <w:r>
              <w:rPr>
                <w:rFonts w:ascii="Arial" w:cs="Arial" w:eastAsia="Arial" w:hAnsi="Arial"/>
                <w:sz w:val="8"/>
                <w:szCs w:val="8"/>
                <w:b w:val="1"/>
                <w:bCs w:val="1"/>
                <w:color w:val="auto"/>
                <w:w w:val="98"/>
              </w:rPr>
              <w:t>(2)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gridSpan w:val="3"/>
          </w:tcPr>
          <w:p>
            <w:pPr>
              <w:jc w:val="center"/>
              <w:ind w:left="11"/>
              <w:spacing w:after="0"/>
              <w:rPr>
                <w:sz w:val="20"/>
                <w:szCs w:val="20"/>
                <w:color w:val="auto"/>
              </w:rPr>
            </w:pPr>
            <w:r>
              <w:rPr>
                <w:rFonts w:ascii="Arial" w:cs="Arial" w:eastAsia="Arial" w:hAnsi="Arial"/>
                <w:sz w:val="14"/>
                <w:szCs w:val="14"/>
                <w:b w:val="1"/>
                <w:bCs w:val="1"/>
                <w:color w:val="auto"/>
                <w:w w:val="99"/>
              </w:rPr>
              <w:t>June 30,</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rPr>
              <w:t>30,</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gridSpan w:val="3"/>
            <w:vMerge w:val="restart"/>
          </w:tcPr>
          <w:p>
            <w:pPr>
              <w:jc w:val="center"/>
              <w:ind w:right="371"/>
              <w:spacing w:after="0"/>
              <w:rPr>
                <w:sz w:val="20"/>
                <w:szCs w:val="20"/>
                <w:color w:val="auto"/>
              </w:rPr>
            </w:pPr>
            <w:r>
              <w:rPr>
                <w:rFonts w:ascii="Arial" w:cs="Arial" w:eastAsia="Arial" w:hAnsi="Arial"/>
                <w:sz w:val="14"/>
                <w:szCs w:val="14"/>
                <w:b w:val="1"/>
                <w:bCs w:val="1"/>
                <w:color w:val="auto"/>
                <w:w w:val="97"/>
              </w:rPr>
              <w:t>As of</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3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2C6937"/>
            </w:tcBorders>
          </w:tcPr>
          <w:p>
            <w:pPr>
              <w:spacing w:after="0"/>
              <w:rPr>
                <w:sz w:val="4"/>
                <w:szCs w:val="4"/>
                <w:color w:val="auto"/>
              </w:rPr>
            </w:pPr>
          </w:p>
        </w:tc>
        <w:tc>
          <w:tcPr>
            <w:tcW w:w="320" w:type="dxa"/>
            <w:vAlign w:val="bottom"/>
            <w:tcBorders>
              <w:bottom w:val="single" w:sz="8" w:color="2C6937"/>
            </w:tcBorders>
          </w:tcPr>
          <w:p>
            <w:pPr>
              <w:spacing w:after="0"/>
              <w:rPr>
                <w:sz w:val="4"/>
                <w:szCs w:val="4"/>
                <w:color w:val="auto"/>
              </w:rPr>
            </w:pPr>
          </w:p>
        </w:tc>
        <w:tc>
          <w:tcPr>
            <w:tcW w:w="240" w:type="dxa"/>
            <w:vAlign w:val="bottom"/>
            <w:tcBorders>
              <w:bottom w:val="single" w:sz="8" w:color="2C6937"/>
            </w:tcBorders>
          </w:tcPr>
          <w:p>
            <w:pPr>
              <w:spacing w:after="0"/>
              <w:rPr>
                <w:sz w:val="4"/>
                <w:szCs w:val="4"/>
                <w:color w:val="auto"/>
              </w:rPr>
            </w:pPr>
          </w:p>
        </w:tc>
        <w:tc>
          <w:tcPr>
            <w:tcW w:w="240" w:type="dxa"/>
            <w:vAlign w:val="bottom"/>
            <w:tcBorders>
              <w:bottom w:val="single" w:sz="8" w:color="2C6937"/>
            </w:tcBorders>
          </w:tcPr>
          <w:p>
            <w:pPr>
              <w:spacing w:after="0"/>
              <w:rPr>
                <w:sz w:val="4"/>
                <w:szCs w:val="4"/>
                <w:color w:val="auto"/>
              </w:rPr>
            </w:pPr>
          </w:p>
        </w:tc>
        <w:tc>
          <w:tcPr>
            <w:tcW w:w="720" w:type="dxa"/>
            <w:vAlign w:val="bottom"/>
            <w:tcBorders>
              <w:bottom w:val="single" w:sz="8" w:color="2C6937"/>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Borders>
              <w:bottom w:val="single" w:sz="8" w:color="2C6937"/>
            </w:tcBorders>
          </w:tcPr>
          <w:p>
            <w:pPr>
              <w:spacing w:after="0"/>
              <w:rPr>
                <w:sz w:val="4"/>
                <w:szCs w:val="4"/>
                <w:color w:val="auto"/>
              </w:rPr>
            </w:pPr>
          </w:p>
        </w:tc>
        <w:tc>
          <w:tcPr>
            <w:tcW w:w="760" w:type="dxa"/>
            <w:vAlign w:val="bottom"/>
            <w:tcBorders>
              <w:bottom w:val="single" w:sz="8" w:color="2C6937"/>
            </w:tcBorders>
          </w:tcPr>
          <w:p>
            <w:pPr>
              <w:spacing w:after="0"/>
              <w:rPr>
                <w:sz w:val="4"/>
                <w:szCs w:val="4"/>
                <w:color w:val="auto"/>
              </w:rPr>
            </w:pPr>
          </w:p>
        </w:tc>
        <w:tc>
          <w:tcPr>
            <w:tcW w:w="240" w:type="dxa"/>
            <w:vAlign w:val="bottom"/>
            <w:tcBorders>
              <w:bottom w:val="single" w:sz="8" w:color="2C6937"/>
            </w:tcBorders>
          </w:tcPr>
          <w:p>
            <w:pPr>
              <w:spacing w:after="0"/>
              <w:rPr>
                <w:sz w:val="4"/>
                <w:szCs w:val="4"/>
                <w:color w:val="auto"/>
              </w:rPr>
            </w:pPr>
          </w:p>
        </w:tc>
        <w:tc>
          <w:tcPr>
            <w:tcW w:w="240" w:type="dxa"/>
            <w:vAlign w:val="bottom"/>
            <w:tcBorders>
              <w:bottom w:val="single" w:sz="8" w:color="2C6937"/>
            </w:tcBorders>
          </w:tcPr>
          <w:p>
            <w:pPr>
              <w:spacing w:after="0"/>
              <w:rPr>
                <w:sz w:val="4"/>
                <w:szCs w:val="4"/>
                <w:color w:val="auto"/>
              </w:rPr>
            </w:pPr>
          </w:p>
        </w:tc>
        <w:tc>
          <w:tcPr>
            <w:tcW w:w="740" w:type="dxa"/>
            <w:vAlign w:val="bottom"/>
            <w:tcBorders>
              <w:bottom w:val="single" w:sz="8" w:color="2C6937"/>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bottom w:val="single" w:sz="8" w:color="2C6937"/>
            </w:tcBorders>
          </w:tcPr>
          <w:p>
            <w:pPr>
              <w:spacing w:after="0"/>
              <w:rPr>
                <w:sz w:val="4"/>
                <w:szCs w:val="4"/>
                <w:color w:val="auto"/>
              </w:rPr>
            </w:pPr>
          </w:p>
        </w:tc>
        <w:tc>
          <w:tcPr>
            <w:tcW w:w="1060" w:type="dxa"/>
            <w:vAlign w:val="bottom"/>
            <w:tcBorders>
              <w:bottom w:val="single" w:sz="8" w:color="2C6937"/>
            </w:tcBorders>
          </w:tcPr>
          <w:p>
            <w:pPr>
              <w:spacing w:after="0"/>
              <w:rPr>
                <w:sz w:val="4"/>
                <w:szCs w:val="4"/>
                <w:color w:val="auto"/>
              </w:rPr>
            </w:pPr>
          </w:p>
        </w:tc>
        <w:tc>
          <w:tcPr>
            <w:tcW w:w="820" w:type="dxa"/>
            <w:vAlign w:val="bottom"/>
            <w:tcBorders>
              <w:bottom w:val="single" w:sz="8" w:color="2C6937"/>
            </w:tcBorders>
            <w:gridSpan w:val="3"/>
            <w:vMerge w:val="continue"/>
          </w:tcPr>
          <w:p>
            <w:pPr>
              <w:spacing w:after="0"/>
              <w:rPr>
                <w:sz w:val="4"/>
                <w:szCs w:val="4"/>
                <w:color w:val="auto"/>
              </w:rPr>
            </w:pPr>
          </w:p>
        </w:tc>
        <w:tc>
          <w:tcPr>
            <w:tcW w:w="760" w:type="dxa"/>
            <w:vAlign w:val="bottom"/>
            <w:tcBorders>
              <w:bottom w:val="single" w:sz="8" w:color="2C6937"/>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71"/>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71"/>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b w:val="1"/>
                <w:bCs w:val="1"/>
                <w:color w:val="auto"/>
              </w:rPr>
              <w:t>June 30, 2024</w:t>
            </w:r>
          </w:p>
        </w:tc>
        <w:tc>
          <w:tcPr>
            <w:tcW w:w="6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w w:val="98"/>
              </w:rPr>
              <w:t>December 31, 2023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LTV ratio:</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Weighted-average original LTV ratio</w:t>
            </w:r>
          </w:p>
        </w:tc>
        <w:tc>
          <w:tcPr>
            <w:tcW w:w="6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62</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62</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60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DSCR:</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Weighted-average DSCR</w:t>
            </w:r>
            <w:r>
              <w:rPr>
                <w:rFonts w:ascii="Arial" w:cs="Arial" w:eastAsia="Arial" w:hAnsi="Arial"/>
                <w:sz w:val="17"/>
                <w:szCs w:val="17"/>
                <w:color w:val="auto"/>
                <w:vertAlign w:val="superscript"/>
              </w:rPr>
              <w:t>(1)</w:t>
            </w:r>
          </w:p>
        </w:tc>
        <w:tc>
          <w:tcPr>
            <w:tcW w:w="6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Current DSCR below 1.0</w:t>
            </w:r>
            <w:r>
              <w:rPr>
                <w:rFonts w:ascii="Arial" w:cs="Arial" w:eastAsia="Arial" w:hAnsi="Arial"/>
                <w:sz w:val="17"/>
                <w:szCs w:val="17"/>
                <w:color w:val="auto"/>
                <w:vertAlign w:val="superscript"/>
              </w:rPr>
              <w:t>(1)</w:t>
            </w: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Loan amount and count:</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Average loan amount (in millions)</w:t>
            </w:r>
          </w:p>
        </w:tc>
        <w:tc>
          <w:tcPr>
            <w:tcW w:w="660" w:type="dxa"/>
            <w:vAlign w:val="bottom"/>
          </w:tcPr>
          <w:p>
            <w:pPr>
              <w:jc w:val="right"/>
              <w:ind w:right="491"/>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18</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82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Loan count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531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1,083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1,393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29,275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28,926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rate type:</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Fixed interest rate</w:t>
            </w: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2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Adjustable interest rate</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w:t>
            </w:r>
          </w:p>
        </w:tc>
        <w:tc>
          <w:tcPr>
            <w:tcW w:w="6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6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60" w:type="dxa"/>
            <w:vAlign w:val="bottom"/>
            <w:tcBorders>
              <w:bottom w:val="single" w:sz="8" w:color="2C6937"/>
            </w:tcBorders>
          </w:tcPr>
          <w:p>
            <w:pPr>
              <w:spacing w:after="0"/>
              <w:rPr>
                <w:sz w:val="16"/>
                <w:szCs w:val="16"/>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52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32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 type:</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Full interest-only</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60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Partial interest-only</w:t>
            </w:r>
            <w:r>
              <w:rPr>
                <w:rFonts w:ascii="Arial" w:cs="Arial" w:eastAsia="Arial" w:hAnsi="Arial"/>
                <w:sz w:val="17"/>
                <w:szCs w:val="17"/>
                <w:color w:val="auto"/>
                <w:vertAlign w:val="superscript"/>
              </w:rPr>
              <w:t>(2)</w:t>
            </w: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60" w:type="dxa"/>
            <w:vAlign w:val="bottom"/>
            <w:tcBorders>
              <w:bottom w:val="single" w:sz="8" w:color="2C6937"/>
            </w:tcBorders>
          </w:tcPr>
          <w:p>
            <w:pPr>
              <w:ind w:left="140"/>
              <w:spacing w:after="0"/>
              <w:rPr>
                <w:sz w:val="20"/>
                <w:szCs w:val="20"/>
                <w:color w:val="auto"/>
              </w:rPr>
            </w:pPr>
            <w:r>
              <w:rPr>
                <w:rFonts w:ascii="Arial" w:cs="Arial" w:eastAsia="Arial" w:hAnsi="Arial"/>
                <w:sz w:val="14"/>
                <w:szCs w:val="14"/>
                <w:color w:val="auto"/>
              </w:rPr>
              <w:t>Fully amortizing</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12</w:t>
            </w:r>
          </w:p>
        </w:tc>
        <w:tc>
          <w:tcPr>
            <w:tcW w:w="6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6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51"/>
              <w:spacing w:after="0"/>
              <w:rPr>
                <w:sz w:val="20"/>
                <w:szCs w:val="20"/>
                <w:color w:val="auto"/>
              </w:rPr>
            </w:pPr>
            <w:r>
              <w:rPr>
                <w:rFonts w:ascii="Arial" w:cs="Arial" w:eastAsia="Arial" w:hAnsi="Arial"/>
                <w:sz w:val="14"/>
                <w:szCs w:val="14"/>
                <w:color w:val="auto"/>
                <w:w w:val="79"/>
              </w:rPr>
              <w:t>%</w:t>
            </w:r>
          </w:p>
        </w:tc>
        <w:tc>
          <w:tcPr>
            <w:tcW w:w="14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60" w:type="dxa"/>
            <w:vAlign w:val="bottom"/>
            <w:tcBorders>
              <w:bottom w:val="single" w:sz="8" w:color="2C6937"/>
            </w:tcBorders>
          </w:tcPr>
          <w:p>
            <w:pPr>
              <w:spacing w:after="0"/>
              <w:rPr>
                <w:sz w:val="16"/>
                <w:szCs w:val="16"/>
                <w:color w:val="auto"/>
              </w:rPr>
            </w:pP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52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 class type:</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Conventional/co-op</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94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Seniors housing</w:t>
            </w:r>
            <w:r>
              <w:rPr>
                <w:rFonts w:ascii="Arial" w:cs="Arial" w:eastAsia="Arial" w:hAnsi="Arial"/>
                <w:sz w:val="17"/>
                <w:szCs w:val="17"/>
                <w:color w:val="auto"/>
                <w:vertAlign w:val="superscript"/>
              </w:rPr>
              <w:t>(3)</w:t>
            </w: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Student housing</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Manufactured housing</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w:t>
            </w:r>
          </w:p>
        </w:tc>
        <w:tc>
          <w:tcPr>
            <w:tcW w:w="6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6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51"/>
              <w:spacing w:after="0"/>
              <w:rPr>
                <w:sz w:val="20"/>
                <w:szCs w:val="20"/>
                <w:color w:val="auto"/>
              </w:rPr>
            </w:pPr>
            <w:r>
              <w:rPr>
                <w:rFonts w:ascii="Arial" w:cs="Arial" w:eastAsia="Arial" w:hAnsi="Arial"/>
                <w:sz w:val="14"/>
                <w:szCs w:val="14"/>
                <w:color w:val="auto"/>
                <w:w w:val="79"/>
              </w:rPr>
              <w:t>%</w:t>
            </w:r>
          </w:p>
        </w:tc>
        <w:tc>
          <w:tcPr>
            <w:tcW w:w="14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60" w:type="dxa"/>
            <w:vAlign w:val="bottom"/>
            <w:tcBorders>
              <w:bottom w:val="single" w:sz="8" w:color="2C6937"/>
            </w:tcBorders>
          </w:tcPr>
          <w:p>
            <w:pPr>
              <w:spacing w:after="0"/>
              <w:rPr>
                <w:sz w:val="16"/>
                <w:szCs w:val="16"/>
                <w:color w:val="auto"/>
              </w:rPr>
            </w:pP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52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2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86"/>
        </w:trPr>
        <w:tc>
          <w:tcPr>
            <w:tcW w:w="336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Affordable</w:t>
            </w:r>
            <w:r>
              <w:rPr>
                <w:rFonts w:ascii="Arial" w:cs="Arial" w:eastAsia="Arial" w:hAnsi="Arial"/>
                <w:sz w:val="17"/>
                <w:szCs w:val="17"/>
                <w:color w:val="auto"/>
                <w:vertAlign w:val="superscript"/>
              </w:rPr>
              <w:t>(4)</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11</w:t>
            </w:r>
          </w:p>
        </w:tc>
        <w:tc>
          <w:tcPr>
            <w:tcW w:w="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40"/>
              <w:spacing w:after="0" w:line="194" w:lineRule="exact"/>
              <w:rPr>
                <w:sz w:val="20"/>
                <w:szCs w:val="20"/>
                <w:color w:val="auto"/>
              </w:rPr>
            </w:pPr>
            <w:r>
              <w:rPr>
                <w:rFonts w:ascii="Arial" w:cs="Arial" w:eastAsia="Arial" w:hAnsi="Arial"/>
                <w:sz w:val="14"/>
                <w:szCs w:val="14"/>
                <w:color w:val="auto"/>
              </w:rPr>
              <w:t>Small balance loans</w:t>
            </w:r>
            <w:r>
              <w:rPr>
                <w:rFonts w:ascii="Arial" w:cs="Arial" w:eastAsia="Arial" w:hAnsi="Arial"/>
                <w:sz w:val="17"/>
                <w:szCs w:val="17"/>
                <w:color w:val="auto"/>
                <w:vertAlign w:val="superscript"/>
              </w:rPr>
              <w:t>(5)</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40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7"/>
                <w:szCs w:val="17"/>
                <w:b w:val="1"/>
                <w:bCs w:val="1"/>
                <w:color w:val="auto"/>
                <w:vertAlign w:val="superscript"/>
              </w:rPr>
              <w:t>(6)</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Midwest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Northeast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Southeast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Southwest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West</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24</w:t>
            </w:r>
          </w:p>
        </w:tc>
        <w:tc>
          <w:tcPr>
            <w:tcW w:w="6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51"/>
              <w:spacing w:after="0"/>
              <w:rPr>
                <w:sz w:val="20"/>
                <w:szCs w:val="20"/>
                <w:color w:val="auto"/>
              </w:rPr>
            </w:pPr>
            <w:r>
              <w:rPr>
                <w:rFonts w:ascii="Arial" w:cs="Arial" w:eastAsia="Arial" w:hAnsi="Arial"/>
                <w:sz w:val="14"/>
                <w:szCs w:val="14"/>
                <w:color w:val="auto"/>
                <w:w w:val="79"/>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30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00" w:hanging="197"/>
        <w:spacing w:after="0"/>
        <w:tabs>
          <w:tab w:leader="none" w:pos="2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less than 0.5% of multifamily business volume or guaranty book of business.</w:t>
      </w:r>
    </w:p>
    <w:p>
      <w:pPr>
        <w:spacing w:after="0" w:line="45" w:lineRule="exact"/>
        <w:rPr>
          <w:sz w:val="20"/>
          <w:szCs w:val="20"/>
          <w:color w:val="auto"/>
        </w:rPr>
      </w:pPr>
    </w:p>
    <w:p>
      <w:pPr>
        <w:ind w:left="240" w:right="140" w:hanging="237"/>
        <w:spacing w:after="0" w:line="237" w:lineRule="auto"/>
        <w:tabs>
          <w:tab w:leader="none" w:pos="233"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For our business volumes, the DSCR is calculated using the actual debt service payments for the loan. For our book of business, our estimates of current DSCRs are based on the latest available income information covering a 12 month period, from quarterly and annual statements for these properties including the related debt service. When an annual statement is the latest statement available, it is used. When operating statement information is not available, the underwritten DSCR is used. Co-op loans are excluded from this metric.</w:t>
      </w:r>
    </w:p>
    <w:p>
      <w:pPr>
        <w:spacing w:after="0" w:line="1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4"/>
        </w:numPr>
        <w:rPr>
          <w:rFonts w:ascii="Arial" w:cs="Arial" w:eastAsia="Arial" w:hAnsi="Arial"/>
          <w:sz w:val="9"/>
          <w:szCs w:val="9"/>
          <w:color w:val="auto"/>
        </w:rPr>
      </w:pPr>
      <w:r>
        <w:rPr>
          <w:rFonts w:ascii="Arial" w:cs="Arial" w:eastAsia="Arial" w:hAnsi="Arial"/>
          <w:sz w:val="14"/>
          <w:szCs w:val="14"/>
          <w:color w:val="auto"/>
        </w:rPr>
        <w:t>Consists of mortgage loans that were underwritten with an interest-only term, regardless of whether the loan is currently in its interest-only period.</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Seniors housing acquisitions in the first half of 2024 represent refinances of existing loans in our multifamily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3" w:name="page44"/>
    <w:bookmarkEnd w:id="43"/>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260" w:hanging="237"/>
        <w:spacing w:after="0" w:line="226" w:lineRule="auto"/>
        <w:tabs>
          <w:tab w:leader="none" w:pos="233"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Represents Multifamily Affordable Housing (“MAH”) loans, which are defined as financing for properties that are under an agreement that provides long-term affordability, such as properties with rent subsidies or income restrictions. MAH loans are included within the asset class categories referenced above.</w:t>
      </w:r>
    </w:p>
    <w:p>
      <w:pPr>
        <w:spacing w:after="0" w:line="27" w:lineRule="exact"/>
        <w:rPr>
          <w:rFonts w:ascii="Arial" w:cs="Arial" w:eastAsia="Arial" w:hAnsi="Arial"/>
          <w:sz w:val="18"/>
          <w:szCs w:val="18"/>
          <w:color w:val="auto"/>
          <w:vertAlign w:val="superscript"/>
        </w:rPr>
      </w:pPr>
    </w:p>
    <w:p>
      <w:pPr>
        <w:ind w:left="240" w:right="60" w:hanging="237"/>
        <w:spacing w:after="0" w:line="233" w:lineRule="auto"/>
        <w:tabs>
          <w:tab w:leader="none" w:pos="233"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Small balance loans refer to multifamily loans with an original unpaid principal balance of up to $9 million nationwide. We changed our definition of small multifamily loans in the third quarter of 2023 to increase the loan amounts from up to $6 million nationwide to up to $9 million nationwide. The updated definition has been applied to all loans in the current multifamily guaranty book of business, including loans that were acquired under previous small loan definitions. Small balance loans are included within the asset class categories referenced above. We present this metric based on loan count rather than unpaid principal balance.</w:t>
      </w:r>
    </w:p>
    <w:p>
      <w:pPr>
        <w:spacing w:after="0" w:line="26" w:lineRule="exact"/>
        <w:rPr>
          <w:rFonts w:ascii="Arial" w:cs="Arial" w:eastAsia="Arial" w:hAnsi="Arial"/>
          <w:sz w:val="18"/>
          <w:szCs w:val="18"/>
          <w:color w:val="auto"/>
          <w:vertAlign w:val="superscript"/>
        </w:rPr>
      </w:pPr>
    </w:p>
    <w:p>
      <w:pPr>
        <w:ind w:left="240" w:right="160" w:hanging="237"/>
        <w:spacing w:after="0" w:line="244" w:lineRule="auto"/>
        <w:tabs>
          <w:tab w:leader="none" w:pos="233" w:val="left"/>
        </w:tabs>
        <w:numPr>
          <w:ilvl w:val="0"/>
          <w:numId w:val="45"/>
        </w:numPr>
        <w:rPr>
          <w:rFonts w:ascii="Arial" w:cs="Arial" w:eastAsia="Arial" w:hAnsi="Arial"/>
          <w:sz w:val="17"/>
          <w:szCs w:val="17"/>
          <w:color w:val="auto"/>
          <w:vertAlign w:val="superscript"/>
        </w:rPr>
      </w:pPr>
      <w:r>
        <w:rPr>
          <w:rFonts w:ascii="Arial" w:cs="Arial" w:eastAsia="Arial" w:hAnsi="Arial"/>
          <w:sz w:val="13"/>
          <w:szCs w:val="13"/>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8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Transfer of Multifamily Mortgage Credit Risk</w:t>
      </w:r>
    </w:p>
    <w:p>
      <w:pPr>
        <w:spacing w:after="0" w:line="112" w:lineRule="exact"/>
        <w:rPr>
          <w:sz w:val="20"/>
          <w:szCs w:val="20"/>
          <w:color w:val="auto"/>
        </w:rPr>
      </w:pPr>
    </w:p>
    <w:p>
      <w:pPr>
        <w:spacing w:after="0"/>
        <w:rPr>
          <w:sz w:val="20"/>
          <w:szCs w:val="20"/>
          <w:color w:val="auto"/>
        </w:rPr>
      </w:pPr>
      <w:r>
        <w:rPr>
          <w:rFonts w:ascii="Georgia" w:cs="Georgia" w:eastAsia="Georgia" w:hAnsi="Georgia"/>
          <w:sz w:val="17"/>
          <w:szCs w:val="17"/>
          <w:u w:val="single" w:color="auto"/>
          <w:color w:val="05314D"/>
        </w:rPr>
        <w:t>Front-End Credit Risk Sharing</w:t>
      </w:r>
    </w:p>
    <w:p>
      <w:pPr>
        <w:spacing w:after="0" w:line="71" w:lineRule="exact"/>
        <w:rPr>
          <w:sz w:val="20"/>
          <w:szCs w:val="20"/>
          <w:color w:val="auto"/>
        </w:rPr>
      </w:pPr>
    </w:p>
    <w:p>
      <w:pPr>
        <w:ind w:right="600"/>
        <w:spacing w:after="0" w:line="246" w:lineRule="auto"/>
        <w:rPr>
          <w:sz w:val="20"/>
          <w:szCs w:val="20"/>
          <w:color w:val="auto"/>
        </w:rPr>
      </w:pPr>
      <w:r>
        <w:rPr>
          <w:rFonts w:ascii="Arial" w:cs="Arial" w:eastAsia="Arial" w:hAnsi="Arial"/>
          <w:sz w:val="16"/>
          <w:szCs w:val="16"/>
          <w:color w:val="auto"/>
        </w:rPr>
        <w:t>We primarily transfer credit risk on the multifamily loans we guarantee through our Delegated Underwriting and Servicing (“DUS</w:t>
      </w:r>
      <w:r>
        <w:rPr>
          <w:rFonts w:ascii="Arial" w:cs="Arial" w:eastAsia="Arial" w:hAnsi="Arial"/>
          <w:sz w:val="21"/>
          <w:szCs w:val="21"/>
          <w:color w:val="auto"/>
          <w:vertAlign w:val="superscript"/>
        </w:rPr>
        <w:t>®</w:t>
      </w:r>
      <w:r>
        <w:rPr>
          <w:rFonts w:ascii="Arial" w:cs="Arial" w:eastAsia="Arial" w:hAnsi="Arial"/>
          <w:sz w:val="16"/>
          <w:szCs w:val="16"/>
          <w:color w:val="auto"/>
        </w:rPr>
        <w:t>”) program, which delegates to DUS lenders the ability to underwrite and service multifamily loans, in accordance with our standards and requirements. See “MD&amp;A— Multifamily Business—Multifamily Mortgage Credit Risk Management—Transfer of Multifamily Mortgage Credit Risk</w:t>
      </w:r>
      <w:r>
        <w:rPr>
          <w:rFonts w:ascii="Arial" w:cs="Arial" w:eastAsia="Arial" w:hAnsi="Arial"/>
          <w:sz w:val="16"/>
          <w:szCs w:val="16"/>
          <w:color w:val="05314D"/>
        </w:rPr>
        <w:t>”</w:t>
      </w:r>
      <w:r>
        <w:rPr>
          <w:rFonts w:ascii="Arial" w:cs="Arial" w:eastAsia="Arial" w:hAnsi="Arial"/>
          <w:sz w:val="16"/>
          <w:szCs w:val="16"/>
          <w:color w:val="auto"/>
        </w:rPr>
        <w:t xml:space="preserve"> in our 2023 Form 10-K for a description of our DUS program.</w:t>
      </w:r>
    </w:p>
    <w:p>
      <w:pPr>
        <w:spacing w:after="0" w:line="5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Loans serviced by DUS lenders and their affiliates represented substantially all of our multifamily guaranty book of business as of June 30, 2024 and December 31, 2023. Our DUS model typically results in our lenders assuming approximately one-third of the credit risk on our multifamily loans, either on a pro-rated or tiered basis. In certain situations, lenders assume less than one-third of the credit risk. We establish lender-specific loss-sharing limits for individual transactions based on loan size, lender financial performance, and lender creditworthiness, among other factors. When loss sharing is reduced on a loan, the servicing fee paid to the lender is reduced and our guaranty fee is increased to reflect the lower credit risk retained by the lender.</w:t>
      </w:r>
    </w:p>
    <w:p>
      <w:pPr>
        <w:spacing w:after="0" w:line="38"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Non-DUS lenders, which represent a small portion of our multifamily guaranty book of business, typically share or absorb losses based on a negotiated percentage of the loan or the pool balance.</w:t>
      </w:r>
    </w:p>
    <w:p>
      <w:pPr>
        <w:spacing w:after="0" w:line="60" w:lineRule="exact"/>
        <w:rPr>
          <w:sz w:val="20"/>
          <w:szCs w:val="20"/>
          <w:color w:val="auto"/>
        </w:rPr>
      </w:pPr>
    </w:p>
    <w:p>
      <w:pPr>
        <w:spacing w:after="0"/>
        <w:rPr>
          <w:sz w:val="20"/>
          <w:szCs w:val="20"/>
          <w:color w:val="auto"/>
        </w:rPr>
      </w:pPr>
      <w:r>
        <w:rPr>
          <w:rFonts w:ascii="Georgia" w:cs="Georgia" w:eastAsia="Georgia" w:hAnsi="Georgia"/>
          <w:sz w:val="17"/>
          <w:szCs w:val="17"/>
          <w:u w:val="single" w:color="auto"/>
          <w:color w:val="05314D"/>
        </w:rPr>
        <w:t>Back-End Credit Risk Sharing</w:t>
      </w:r>
    </w:p>
    <w:p>
      <w:pPr>
        <w:spacing w:after="0" w:line="9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back-end MCAS and MCIRT credit risk transfer programs transfer a portion of the credit risk associated with a reference pool of multifamily mortgage loans to insurers, reinsurers, or investors. During the first half of 2024, we entered into one new multifamily credit risk transfer transaction, transferring multifamily mortgage credit risk through an MCIRT transaction. When engaging in credit risk transfer transactions, we consider their cost, the resulting capital relief, and the overall credit risk appetite of the market. The cost of our credit risk transfer transactions is impacted by macroeconomic conditions and housing market sentiment, as well as the demand and capacity of the investors and reinsurers that support these transactions.</w:t>
      </w:r>
    </w:p>
    <w:p>
      <w:pPr>
        <w:spacing w:after="0" w:line="38"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The table below displays the total unpaid principal balance of multifamily loans and the percentage of our multifamily guaranty book of business, based on unpaid principal balance, that is covered by a back-end credit risk transfer transaction. The table does not reflect front-end lender risk-sharing arrangements, as only a small portion of our multifamily guaranty book of business is not covered by these arrangements.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Loans in Back-End Credit Risk Transfer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3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20" w:type="dxa"/>
            <w:vAlign w:val="bottom"/>
            <w:tcBorders>
              <w:bottom w:val="single" w:sz="8" w:color="2C6937"/>
            </w:tcBorders>
            <w:gridSpan w:val="3"/>
          </w:tcPr>
          <w:p>
            <w:pPr>
              <w:jc w:val="center"/>
              <w:ind w:left="1328"/>
              <w:spacing w:after="0"/>
              <w:rPr>
                <w:sz w:val="20"/>
                <w:szCs w:val="20"/>
                <w:color w:val="auto"/>
              </w:rPr>
            </w:pPr>
            <w:r>
              <w:rPr>
                <w:rFonts w:ascii="Arial" w:cs="Arial" w:eastAsia="Arial" w:hAnsi="Arial"/>
                <w:sz w:val="14"/>
                <w:szCs w:val="14"/>
                <w:b w:val="1"/>
                <w:bCs w:val="1"/>
                <w:color w:val="auto"/>
                <w:w w:val="97"/>
              </w:rPr>
              <w:t>As of</w:t>
            </w:r>
          </w:p>
        </w:tc>
        <w:tc>
          <w:tcPr>
            <w:tcW w:w="12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spacing w:after="0"/>
              <w:rPr>
                <w:sz w:val="17"/>
                <w:szCs w:val="17"/>
                <w:color w:val="auto"/>
              </w:rPr>
            </w:pPr>
          </w:p>
        </w:tc>
      </w:tr>
      <w:tr>
        <w:trPr>
          <w:trHeight w:val="193"/>
        </w:trPr>
        <w:tc>
          <w:tcPr>
            <w:tcW w:w="4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2960" w:type="dxa"/>
            <w:vAlign w:val="bottom"/>
            <w:tcBorders>
              <w:bottom w:val="single" w:sz="8" w:color="2C6937"/>
            </w:tcBorders>
            <w:gridSpan w:val="3"/>
          </w:tcPr>
          <w:p>
            <w:pPr>
              <w:ind w:left="960"/>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2940" w:type="dxa"/>
            <w:vAlign w:val="bottom"/>
            <w:tcBorders>
              <w:bottom w:val="single" w:sz="8" w:color="2C6937"/>
            </w:tcBorders>
            <w:gridSpan w:val="3"/>
          </w:tcPr>
          <w:p>
            <w:pPr>
              <w:ind w:left="780"/>
              <w:spacing w:after="0"/>
              <w:rPr>
                <w:sz w:val="20"/>
                <w:szCs w:val="20"/>
                <w:color w:val="auto"/>
              </w:rPr>
            </w:pPr>
            <w:r>
              <w:rPr>
                <w:rFonts w:ascii="Arial" w:cs="Arial" w:eastAsia="Arial" w:hAnsi="Arial"/>
                <w:sz w:val="14"/>
                <w:szCs w:val="14"/>
                <w:b w:val="1"/>
                <w:bCs w:val="1"/>
                <w:color w:val="auto"/>
              </w:rPr>
              <w:t>December 31, 2023</w:t>
            </w:r>
          </w:p>
        </w:tc>
      </w:tr>
      <w:tr>
        <w:trPr>
          <w:trHeight w:val="165"/>
        </w:trPr>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Percentage of</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w:t>
            </w:r>
          </w:p>
        </w:tc>
      </w:tr>
      <w:tr>
        <w:trPr>
          <w:trHeight w:val="155"/>
        </w:trPr>
        <w:tc>
          <w:tcPr>
            <w:tcW w:w="4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7"/>
              </w:rPr>
              <w:t>Unpaid Principal</w:t>
            </w:r>
          </w:p>
        </w:tc>
        <w:tc>
          <w:tcPr>
            <w:tcW w:w="16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8"/>
              </w:rPr>
              <w:t>Multifamily Guaranty</w:t>
            </w: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7"/>
              </w:rPr>
              <w:t>Unpaid Principal</w:t>
            </w: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Multifamily Guaranty</w:t>
            </w:r>
          </w:p>
        </w:tc>
      </w:tr>
      <w:tr>
        <w:trPr>
          <w:trHeight w:val="209"/>
        </w:trPr>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40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Balance</w:t>
            </w:r>
          </w:p>
        </w:tc>
        <w:tc>
          <w:tcPr>
            <w:tcW w:w="1660" w:type="dxa"/>
            <w:vAlign w:val="bottom"/>
            <w:tcBorders>
              <w:bottom w:val="single" w:sz="8" w:color="2C6937"/>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Book of Business</w:t>
            </w:r>
          </w:p>
        </w:tc>
        <w:tc>
          <w:tcPr>
            <w:tcW w:w="160" w:type="dxa"/>
            <w:vAlign w:val="bottom"/>
            <w:tcBorders>
              <w:bottom w:val="single" w:sz="8" w:color="2C6937"/>
            </w:tcBorders>
          </w:tcPr>
          <w:p>
            <w:pPr>
              <w:spacing w:after="0"/>
              <w:rPr>
                <w:sz w:val="18"/>
                <w:szCs w:val="18"/>
                <w:color w:val="auto"/>
              </w:rPr>
            </w:pPr>
          </w:p>
        </w:tc>
        <w:tc>
          <w:tcPr>
            <w:tcW w:w="138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Balance</w:t>
            </w: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Book of Business</w:t>
            </w:r>
          </w:p>
        </w:tc>
      </w:tr>
      <w:tr>
        <w:trPr>
          <w:trHeight w:val="205"/>
        </w:trPr>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1560" w:type="dxa"/>
            <w:vAlign w:val="bottom"/>
          </w:tcPr>
          <w:p>
            <w:pPr>
              <w:spacing w:after="0"/>
              <w:rPr>
                <w:sz w:val="17"/>
                <w:szCs w:val="17"/>
                <w:color w:val="auto"/>
              </w:rPr>
            </w:pPr>
          </w:p>
        </w:tc>
      </w:tr>
      <w:tr>
        <w:trPr>
          <w:trHeight w:val="253"/>
        </w:trPr>
        <w:tc>
          <w:tcPr>
            <w:tcW w:w="4940" w:type="dxa"/>
            <w:vAlign w:val="bottom"/>
            <w:gridSpan w:val="2"/>
          </w:tcPr>
          <w:p>
            <w:pPr>
              <w:ind w:left="20"/>
              <w:spacing w:after="0"/>
              <w:rPr>
                <w:sz w:val="20"/>
                <w:szCs w:val="20"/>
                <w:color w:val="auto"/>
              </w:rPr>
            </w:pPr>
            <w:r>
              <w:rPr>
                <w:rFonts w:ascii="Arial" w:cs="Arial" w:eastAsia="Arial" w:hAnsi="Arial"/>
                <w:sz w:val="15"/>
                <w:szCs w:val="15"/>
                <w:color w:val="auto"/>
              </w:rPr>
              <w:t>MCIRT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00" w:type="dxa"/>
            <w:vAlign w:val="bottom"/>
          </w:tcPr>
          <w:p>
            <w:pPr>
              <w:jc w:val="right"/>
              <w:ind w:right="7"/>
              <w:spacing w:after="0"/>
              <w:rPr>
                <w:sz w:val="20"/>
                <w:szCs w:val="20"/>
                <w:color w:val="auto"/>
              </w:rPr>
            </w:pPr>
            <w:r>
              <w:rPr>
                <w:rFonts w:ascii="Arial" w:cs="Arial" w:eastAsia="Arial" w:hAnsi="Arial"/>
                <w:sz w:val="15"/>
                <w:szCs w:val="15"/>
                <w:b w:val="1"/>
                <w:bCs w:val="1"/>
                <w:color w:val="auto"/>
              </w:rPr>
              <w:t>99,190</w:t>
            </w:r>
          </w:p>
        </w:tc>
        <w:tc>
          <w:tcPr>
            <w:tcW w:w="100" w:type="dxa"/>
            <w:vAlign w:val="bottom"/>
          </w:tcPr>
          <w:p>
            <w:pPr>
              <w:spacing w:after="0"/>
              <w:rPr>
                <w:sz w:val="21"/>
                <w:szCs w:val="21"/>
                <w:color w:val="auto"/>
              </w:rPr>
            </w:pPr>
          </w:p>
        </w:tc>
        <w:tc>
          <w:tcPr>
            <w:tcW w:w="1560" w:type="dxa"/>
            <w:vAlign w:val="bottom"/>
          </w:tcPr>
          <w:p>
            <w:pPr>
              <w:ind w:left="1180"/>
              <w:spacing w:after="0"/>
              <w:rPr>
                <w:sz w:val="20"/>
                <w:szCs w:val="20"/>
                <w:color w:val="auto"/>
              </w:rPr>
            </w:pPr>
            <w:r>
              <w:rPr>
                <w:rFonts w:ascii="Arial" w:cs="Arial" w:eastAsia="Arial" w:hAnsi="Arial"/>
                <w:sz w:val="15"/>
                <w:szCs w:val="15"/>
                <w:b w:val="1"/>
                <w:bCs w:val="1"/>
                <w:color w:val="auto"/>
              </w:rPr>
              <w:t>21 %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89,517</w:t>
            </w:r>
          </w:p>
        </w:tc>
        <w:tc>
          <w:tcPr>
            <w:tcW w:w="100" w:type="dxa"/>
            <w:vAlign w:val="bottom"/>
          </w:tcPr>
          <w:p>
            <w:pPr>
              <w:spacing w:after="0"/>
              <w:rPr>
                <w:sz w:val="21"/>
                <w:szCs w:val="21"/>
                <w:color w:val="auto"/>
              </w:rPr>
            </w:pPr>
          </w:p>
        </w:tc>
        <w:tc>
          <w:tcPr>
            <w:tcW w:w="1560" w:type="dxa"/>
            <w:vAlign w:val="bottom"/>
          </w:tcPr>
          <w:p>
            <w:pPr>
              <w:ind w:left="1200"/>
              <w:spacing w:after="0"/>
              <w:rPr>
                <w:sz w:val="20"/>
                <w:szCs w:val="20"/>
                <w:color w:val="auto"/>
              </w:rPr>
            </w:pPr>
            <w:r>
              <w:rPr>
                <w:rFonts w:ascii="Arial" w:cs="Arial" w:eastAsia="Arial" w:hAnsi="Arial"/>
                <w:sz w:val="15"/>
                <w:szCs w:val="15"/>
                <w:color w:val="auto"/>
                <w:w w:val="99"/>
              </w:rPr>
              <w:t>19 %</w:t>
            </w:r>
          </w:p>
        </w:tc>
      </w:tr>
      <w:tr>
        <w:trPr>
          <w:trHeight w:val="226"/>
        </w:trPr>
        <w:tc>
          <w:tcPr>
            <w:tcW w:w="486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MCAS</w:t>
            </w:r>
          </w:p>
        </w:tc>
        <w:tc>
          <w:tcPr>
            <w:tcW w:w="8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30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48,198</w:t>
            </w:r>
          </w:p>
        </w:tc>
        <w:tc>
          <w:tcPr>
            <w:tcW w:w="100" w:type="dxa"/>
            <w:vAlign w:val="bottom"/>
          </w:tcPr>
          <w:p>
            <w:pPr>
              <w:spacing w:after="0"/>
              <w:rPr>
                <w:sz w:val="19"/>
                <w:szCs w:val="19"/>
                <w:color w:val="auto"/>
              </w:rPr>
            </w:pPr>
          </w:p>
        </w:tc>
        <w:tc>
          <w:tcPr>
            <w:tcW w:w="1560" w:type="dxa"/>
            <w:vAlign w:val="bottom"/>
            <w:tcBorders>
              <w:bottom w:val="single" w:sz="8" w:color="2C6937"/>
            </w:tcBorders>
          </w:tcPr>
          <w:p>
            <w:pPr>
              <w:ind w:left="1180"/>
              <w:spacing w:after="0"/>
              <w:rPr>
                <w:sz w:val="20"/>
                <w:szCs w:val="20"/>
                <w:color w:val="auto"/>
              </w:rPr>
            </w:pPr>
            <w:r>
              <w:rPr>
                <w:rFonts w:ascii="Arial" w:cs="Arial" w:eastAsia="Arial" w:hAnsi="Arial"/>
                <w:sz w:val="15"/>
                <w:szCs w:val="15"/>
                <w:b w:val="1"/>
                <w:bCs w:val="1"/>
                <w:color w:val="auto"/>
              </w:rPr>
              <w:t>10</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2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48,476</w:t>
            </w:r>
          </w:p>
        </w:tc>
        <w:tc>
          <w:tcPr>
            <w:tcW w:w="100" w:type="dxa"/>
            <w:vAlign w:val="bottom"/>
          </w:tcPr>
          <w:p>
            <w:pPr>
              <w:spacing w:after="0"/>
              <w:rPr>
                <w:sz w:val="19"/>
                <w:szCs w:val="19"/>
                <w:color w:val="auto"/>
              </w:rPr>
            </w:pPr>
          </w:p>
        </w:tc>
        <w:tc>
          <w:tcPr>
            <w:tcW w:w="1560" w:type="dxa"/>
            <w:vAlign w:val="bottom"/>
            <w:tcBorders>
              <w:bottom w:val="single" w:sz="8" w:color="2C6937"/>
            </w:tcBorders>
          </w:tcPr>
          <w:p>
            <w:pPr>
              <w:ind w:left="1200"/>
              <w:spacing w:after="0"/>
              <w:rPr>
                <w:sz w:val="20"/>
                <w:szCs w:val="20"/>
                <w:color w:val="auto"/>
              </w:rPr>
            </w:pPr>
            <w:r>
              <w:rPr>
                <w:rFonts w:ascii="Arial" w:cs="Arial" w:eastAsia="Arial" w:hAnsi="Arial"/>
                <w:sz w:val="15"/>
                <w:szCs w:val="15"/>
                <w:color w:val="auto"/>
              </w:rPr>
              <w:t>10</w:t>
            </w:r>
          </w:p>
        </w:tc>
      </w:tr>
      <w:tr>
        <w:trPr>
          <w:trHeight w:val="225"/>
        </w:trPr>
        <w:tc>
          <w:tcPr>
            <w:tcW w:w="4940" w:type="dxa"/>
            <w:vAlign w:val="bottom"/>
            <w:gridSpan w:val="2"/>
          </w:tcPr>
          <w:p>
            <w:pPr>
              <w:ind w:left="180"/>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00" w:type="dxa"/>
            <w:vAlign w:val="bottom"/>
          </w:tcPr>
          <w:p>
            <w:pPr>
              <w:jc w:val="right"/>
              <w:ind w:right="7"/>
              <w:spacing w:after="0"/>
              <w:rPr>
                <w:sz w:val="20"/>
                <w:szCs w:val="20"/>
                <w:color w:val="auto"/>
              </w:rPr>
            </w:pPr>
            <w:r>
              <w:rPr>
                <w:rFonts w:ascii="Arial" w:cs="Arial" w:eastAsia="Arial" w:hAnsi="Arial"/>
                <w:sz w:val="15"/>
                <w:szCs w:val="15"/>
                <w:b w:val="1"/>
                <w:bCs w:val="1"/>
                <w:color w:val="auto"/>
              </w:rPr>
              <w:t>147,388</w:t>
            </w:r>
          </w:p>
        </w:tc>
        <w:tc>
          <w:tcPr>
            <w:tcW w:w="100" w:type="dxa"/>
            <w:vAlign w:val="bottom"/>
          </w:tcPr>
          <w:p>
            <w:pPr>
              <w:spacing w:after="0"/>
              <w:rPr>
                <w:sz w:val="19"/>
                <w:szCs w:val="19"/>
                <w:color w:val="auto"/>
              </w:rPr>
            </w:pPr>
          </w:p>
        </w:tc>
        <w:tc>
          <w:tcPr>
            <w:tcW w:w="1560" w:type="dxa"/>
            <w:vAlign w:val="bottom"/>
          </w:tcPr>
          <w:p>
            <w:pPr>
              <w:ind w:left="1180"/>
              <w:spacing w:after="0"/>
              <w:rPr>
                <w:sz w:val="20"/>
                <w:szCs w:val="20"/>
                <w:color w:val="auto"/>
              </w:rPr>
            </w:pPr>
            <w:r>
              <w:rPr>
                <w:rFonts w:ascii="Arial" w:cs="Arial" w:eastAsia="Arial" w:hAnsi="Arial"/>
                <w:sz w:val="15"/>
                <w:szCs w:val="15"/>
                <w:b w:val="1"/>
                <w:bCs w:val="1"/>
                <w:color w:val="auto"/>
              </w:rPr>
              <w:t>31 %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137,993</w:t>
            </w:r>
          </w:p>
        </w:tc>
        <w:tc>
          <w:tcPr>
            <w:tcW w:w="100" w:type="dxa"/>
            <w:vAlign w:val="bottom"/>
          </w:tcPr>
          <w:p>
            <w:pPr>
              <w:spacing w:after="0"/>
              <w:rPr>
                <w:sz w:val="19"/>
                <w:szCs w:val="19"/>
                <w:color w:val="auto"/>
              </w:rPr>
            </w:pPr>
          </w:p>
        </w:tc>
        <w:tc>
          <w:tcPr>
            <w:tcW w:w="1560" w:type="dxa"/>
            <w:vAlign w:val="bottom"/>
          </w:tcPr>
          <w:p>
            <w:pPr>
              <w:ind w:left="1200"/>
              <w:spacing w:after="0"/>
              <w:rPr>
                <w:sz w:val="20"/>
                <w:szCs w:val="20"/>
                <w:color w:val="auto"/>
              </w:rPr>
            </w:pPr>
            <w:r>
              <w:rPr>
                <w:rFonts w:ascii="Arial" w:cs="Arial" w:eastAsia="Arial" w:hAnsi="Arial"/>
                <w:sz w:val="15"/>
                <w:szCs w:val="15"/>
                <w:color w:val="auto"/>
                <w:w w:val="99"/>
              </w:rPr>
              <w:t>29 %</w:t>
            </w:r>
          </w:p>
        </w:tc>
      </w:tr>
      <w:tr>
        <w:trPr>
          <w:trHeight w:val="20"/>
        </w:trPr>
        <w:tc>
          <w:tcPr>
            <w:tcW w:w="48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2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41</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4" w:name="page45"/>
    <w:bookmarkEnd w:id="44"/>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Problem Loan Management</w:t>
      </w:r>
    </w:p>
    <w:p>
      <w:pPr>
        <w:spacing w:after="0" w:line="11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Credit Performance Statistics on Multifamily Problem Loans</w:t>
      </w:r>
    </w:p>
    <w:p>
      <w:pPr>
        <w:spacing w:after="0" w:line="67"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percentage of criticized loans in our multifamily guaranty book of business decreased as of June 30, 2024 compared with December 31, 2023, due to improving financial performance reflected in their latest operating statements and active management of the criticized loan population, both primarily related to seniors housing loans. However, our criticized loan population remains elevated, largely driven by properties financed with adjustable-rate mortgages. The criticized loans category substantially consists of loans classified as “Substandard” and also includes loans classified as “Special Mention” or “Doubtful.” Substandard loans are loans that have a well-defined weakness that could impact their timely full repayment. While the majority of the substandard loans in our multifamily guaranty book of business are currently making timely payments, we continue to monitor the performance of our substandard loan population. For more information on our credit quality indicators, including our population of substandard loans, see “Note 4, Mortgage Loans.”</w:t>
      </w:r>
    </w:p>
    <w:p>
      <w:pPr>
        <w:spacing w:after="0" w:line="239"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Our multifamily serious delinquency rate decreased to 0.44% as of June 30, 2024, compared with 0.46% as of December 31, 2023. Approximately half of our seriously delinquent multifamily loan population as of June 30, 2024 was comprised of seniors housing loans. Our multifamily serious delinquency rate consists of multifamily loans that were 60 days or more past due based on unpaid principal balance, expressed as a percentage of our multifamily guaranty book of business. We expect our multifamily serious delinquency rate to increase in the near term due to a portfolio of approximately $600 million of adjustable-rate conventional loans that we anticipate will become seriously delinquent.</w:t>
      </w:r>
    </w:p>
    <w:p>
      <w:pPr>
        <w:spacing w:after="0" w:line="53"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Management monitors the multifamily serious delinquency rate as an indicator of potential future credit losses and loss mitigation activities. Serious delinquency rates are reflective of our performance in assessing and managing credit risk associated with multifamily loans in our guaranty book of business. Typically, higher serious delinquency rates result in a higher allowance for loan losses. The percentage of loans in our multifamily guaranty book of business that were 180 days or more delinquent was 0.36% as of June 30, 2024, compared with 0.29% as of December 31, 2023.</w:t>
      </w:r>
    </w:p>
    <w:p>
      <w:pPr>
        <w:spacing w:after="0" w:line="35"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In addition to the credit performance information on our multifamily loans provided in this report, we provide additional information about the performance of our multifamily loans that back MBS and whole loan REMICs in the “Data Collections” section of our DUS Disclose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available at www.fanniemae.com/dusdisclose. Information on our website is not incorporated into this report. Information in Data Collections may differ from similar measures presented in our financial statements and other public disclosures for a variety of reasons, including as a result of variations in the loan population covered, timing differences in reporting and other factors.</w:t>
      </w:r>
    </w:p>
    <w:p>
      <w:pPr>
        <w:spacing w:after="0" w:line="91"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 REO Management</w:t>
      </w:r>
    </w:p>
    <w:p>
      <w:pPr>
        <w:spacing w:after="0" w:line="80"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As of June 30, 2024, we held 96 multifamily REO properties with a carrying value of $540 million, compared with 61 properties with a carrying value of $378 million as of December 31, 2023. The increase in foreclosure activity was primarily driven by properties included in a specific seniors housing portfolio that had write-offs during 2023. A majority of properties in this portfolio have completed the foreclosure or sale process as of June 30, 2024; however, we expect the foreclosure process to take longer for properties in the portfolio that are located in certain judicial foreclosure states with historically long foreclosure timelines.</w:t>
      </w:r>
    </w:p>
    <w:p>
      <w:pPr>
        <w:spacing w:after="0" w:line="275"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 Credit Loss Performance Metrics</w:t>
      </w:r>
    </w:p>
    <w:p>
      <w:pPr>
        <w:spacing w:after="0" w:line="67"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The amount of multifamily credit losses or gains we realize in a given period is driven by foreclosures, pre-foreclosure sales, post-foreclosure REO activity and other events that trigger write-offs and recoveries. Our multifamily credit loss performance metrics are not defined terms and may not be calculated in the same manner as similarly titled measures reported by other companies. For the purposes of our multifamily credit loss performance metrics, credit losses or gains represent write-offs net of recoveries and foreclosed property income or expense. We believe our multifamily credit losses, and our multifamily credit losses net of freestanding loss-sharing arrangements, provide useful information about our multifamily credit performance because they display our multifamily credit losses in the context of our multifamily guaranty book of business, including changes to the benefit we expect to receive from loss-sharing arrangements. Management views multifamily credit losses, net of freestanding loss-sharing arrangements, as a key metric related to our multifamily business model and our strategy to share multifamily credit risk.</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5" w:name="page46"/>
    <w:bookmarkEnd w:id="45"/>
    <w:p>
      <w:pPr>
        <w:ind w:left="642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17145</wp:posOffset>
            </wp:positionV>
            <wp:extent cx="69748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74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table below displays the components of our multifamily credit loss performance metrics, as well as our multifamily initial write-off severity rate and write-off loan count.</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Multifamily Credit Loss Performance Metrics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40" w:type="dxa"/>
            <w:vAlign w:val="bottom"/>
            <w:tcBorders>
              <w:top w:val="single" w:sz="8" w:color="2C6937"/>
            </w:tcBorders>
          </w:tcPr>
          <w:p>
            <w:pPr>
              <w:jc w:val="center"/>
              <w:ind w:left="5663"/>
              <w:spacing w:after="0"/>
              <w:rPr>
                <w:sz w:val="20"/>
                <w:szCs w:val="20"/>
                <w:color w:val="auto"/>
              </w:rPr>
            </w:pPr>
            <w:r>
              <w:rPr>
                <w:rFonts w:ascii="Arial" w:cs="Arial" w:eastAsia="Arial" w:hAnsi="Arial"/>
                <w:sz w:val="15"/>
                <w:szCs w:val="15"/>
                <w:b w:val="1"/>
                <w:bCs w:val="1"/>
                <w:color w:val="auto"/>
              </w:rPr>
              <w:t>For the Three Months Ended June</w:t>
            </w:r>
          </w:p>
        </w:tc>
        <w:tc>
          <w:tcPr>
            <w:tcW w:w="2780" w:type="dxa"/>
            <w:vAlign w:val="bottom"/>
            <w:tcBorders>
              <w:top w:val="single" w:sz="8" w:color="2C6937"/>
            </w:tcBorders>
          </w:tcPr>
          <w:p>
            <w:pPr>
              <w:jc w:val="center"/>
              <w:ind w:right="143"/>
              <w:spacing w:after="0"/>
              <w:rPr>
                <w:sz w:val="20"/>
                <w:szCs w:val="20"/>
                <w:color w:val="auto"/>
              </w:rPr>
            </w:pPr>
            <w:r>
              <w:rPr>
                <w:rFonts w:ascii="Arial" w:cs="Arial" w:eastAsia="Arial" w:hAnsi="Arial"/>
                <w:sz w:val="15"/>
                <w:szCs w:val="15"/>
                <w:b w:val="1"/>
                <w:bCs w:val="1"/>
                <w:color w:val="auto"/>
              </w:rPr>
              <w:t>For the Six Months Ended June</w:t>
            </w:r>
          </w:p>
        </w:tc>
      </w:tr>
      <w:tr>
        <w:trPr>
          <w:trHeight w:val="206"/>
        </w:trPr>
        <w:tc>
          <w:tcPr>
            <w:tcW w:w="8440" w:type="dxa"/>
            <w:vAlign w:val="bottom"/>
          </w:tcPr>
          <w:p>
            <w:pPr>
              <w:jc w:val="right"/>
              <w:ind w:right="1183"/>
              <w:spacing w:after="0"/>
              <w:rPr>
                <w:sz w:val="20"/>
                <w:szCs w:val="20"/>
                <w:color w:val="auto"/>
              </w:rPr>
            </w:pPr>
            <w:r>
              <w:rPr>
                <w:rFonts w:ascii="Arial" w:cs="Arial" w:eastAsia="Arial" w:hAnsi="Arial"/>
                <w:sz w:val="15"/>
                <w:szCs w:val="15"/>
                <w:b w:val="1"/>
                <w:bCs w:val="1"/>
                <w:color w:val="auto"/>
              </w:rPr>
              <w:t>30,</w:t>
            </w:r>
          </w:p>
        </w:tc>
        <w:tc>
          <w:tcPr>
            <w:tcW w:w="2780" w:type="dxa"/>
            <w:vAlign w:val="bottom"/>
          </w:tcPr>
          <w:p>
            <w:pPr>
              <w:jc w:val="right"/>
              <w:ind w:right="1323"/>
              <w:spacing w:after="0"/>
              <w:rPr>
                <w:sz w:val="20"/>
                <w:szCs w:val="20"/>
                <w:color w:val="auto"/>
              </w:rPr>
            </w:pPr>
            <w:r>
              <w:rPr>
                <w:rFonts w:ascii="Arial" w:cs="Arial" w:eastAsia="Arial" w:hAnsi="Arial"/>
                <w:sz w:val="15"/>
                <w:szCs w:val="15"/>
                <w:b w:val="1"/>
                <w:bCs w:val="1"/>
                <w:color w:val="auto"/>
              </w:rPr>
              <w:t>30,</w:t>
            </w:r>
          </w:p>
        </w:tc>
      </w:tr>
    </w:tbl>
    <w:p>
      <w:pPr>
        <w:spacing w:after="0" w:line="1" w:lineRule="exact"/>
        <w:rPr>
          <w:sz w:val="20"/>
          <w:szCs w:val="20"/>
          <w:color w:val="auto"/>
        </w:rPr>
      </w:pP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Write-offs</w:t>
      </w:r>
      <w:r>
        <w:rPr>
          <w:rFonts w:ascii="Arial" w:cs="Arial" w:eastAsia="Arial" w:hAnsi="Arial"/>
          <w:sz w:val="20"/>
          <w:szCs w:val="20"/>
          <w:color w:val="auto"/>
          <w:vertAlign w:val="superscript"/>
        </w:rPr>
        <w:t>(1)</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Recoveries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Foreclosed property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35858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585845" cy="8255"/>
                    </a:xfrm>
                    <a:prstGeom prst="rect">
                      <a:avLst/>
                    </a:prstGeom>
                    <a:noFill/>
                  </pic:spPr>
                </pic:pic>
              </a:graphicData>
            </a:graphic>
          </wp:anchor>
        </w:drawing>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Credit gains (losses)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Change in expected benefits from freestanding loss-sharing arrangements</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35858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85845" cy="8255"/>
                    </a:xfrm>
                    <a:prstGeom prst="rect">
                      <a:avLst/>
                    </a:prstGeom>
                    <a:noFill/>
                  </pic:spPr>
                </pic:pic>
              </a:graphicData>
            </a:graphic>
          </wp:anchor>
        </w:drawing>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Credit gains (losses), net of freestanding loss-sharing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35858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5858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35858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585845"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Credit gain (loss) ratio (in bps)</w:t>
      </w:r>
      <w:r>
        <w:rPr>
          <w:rFonts w:ascii="Arial" w:cs="Arial" w:eastAsia="Arial" w:hAnsi="Arial"/>
          <w:sz w:val="20"/>
          <w:szCs w:val="20"/>
          <w:color w:val="auto"/>
          <w:vertAlign w:val="superscript"/>
        </w:rPr>
        <w:t>(3)</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Credit gain (loss) ratio, net of freestanding loss-sharing arrangements (in bps)</w:t>
      </w:r>
      <w:r>
        <w:rPr>
          <w:rFonts w:ascii="Arial" w:cs="Arial" w:eastAsia="Arial" w:hAnsi="Arial"/>
          <w:sz w:val="20"/>
          <w:szCs w:val="20"/>
          <w:color w:val="auto"/>
          <w:vertAlign w:val="superscript"/>
        </w:rPr>
        <w:t>(2)(3)</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 initial write-off severity rate on liquidated loans</w:t>
      </w:r>
      <w:r>
        <w:rPr>
          <w:rFonts w:ascii="Arial" w:cs="Arial" w:eastAsia="Arial" w:hAnsi="Arial"/>
          <w:sz w:val="20"/>
          <w:szCs w:val="20"/>
          <w:color w:val="auto"/>
          <w:vertAlign w:val="superscript"/>
        </w:rPr>
        <w:t>(4)(5)</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 write-off loan count on liquidated loans</w:t>
      </w:r>
      <w:r>
        <w:rPr>
          <w:rFonts w:ascii="Arial" w:cs="Arial" w:eastAsia="Arial" w:hAnsi="Arial"/>
          <w:sz w:val="20"/>
          <w:szCs w:val="20"/>
          <w:color w:val="auto"/>
          <w:vertAlign w:val="superscript"/>
        </w:rPr>
        <w:t>(6)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80" w:type="dxa"/>
            <w:vAlign w:val="bottom"/>
            <w:tcBorders>
              <w:top w:val="single" w:sz="8" w:color="2C6937"/>
              <w:bottom w:val="single" w:sz="8" w:color="2C6937"/>
            </w:tcBorders>
          </w:tcPr>
          <w:p>
            <w:pPr>
              <w:spacing w:after="0"/>
              <w:rPr>
                <w:sz w:val="17"/>
                <w:szCs w:val="17"/>
                <w:color w:val="auto"/>
              </w:rPr>
            </w:pPr>
          </w:p>
        </w:tc>
        <w:tc>
          <w:tcPr>
            <w:tcW w:w="740" w:type="dxa"/>
            <w:vAlign w:val="bottom"/>
            <w:tcBorders>
              <w:top w:val="single" w:sz="8" w:color="2C6937"/>
              <w:bottom w:val="single" w:sz="8" w:color="2C6937"/>
            </w:tcBorders>
          </w:tcPr>
          <w:p>
            <w:pPr>
              <w:jc w:val="right"/>
              <w:ind w:right="123"/>
              <w:spacing w:after="0"/>
              <w:rPr>
                <w:sz w:val="20"/>
                <w:szCs w:val="20"/>
                <w:color w:val="auto"/>
              </w:rPr>
            </w:pPr>
            <w:r>
              <w:rPr>
                <w:rFonts w:ascii="Arial" w:cs="Arial" w:eastAsia="Arial" w:hAnsi="Arial"/>
                <w:sz w:val="15"/>
                <w:szCs w:val="15"/>
                <w:b w:val="1"/>
                <w:bCs w:val="1"/>
                <w:color w:val="auto"/>
              </w:rPr>
              <w:t>2024</w:t>
            </w:r>
          </w:p>
        </w:tc>
        <w:tc>
          <w:tcPr>
            <w:tcW w:w="380" w:type="dxa"/>
            <w:vAlign w:val="bottom"/>
            <w:tcBorders>
              <w:top w:val="single" w:sz="8" w:color="2C6937"/>
              <w:bottom w:val="single" w:sz="8" w:color="2C6937"/>
            </w:tcBorders>
          </w:tcPr>
          <w:p>
            <w:pPr>
              <w:spacing w:after="0"/>
              <w:rPr>
                <w:sz w:val="17"/>
                <w:szCs w:val="17"/>
                <w:color w:val="auto"/>
              </w:rPr>
            </w:pPr>
          </w:p>
        </w:tc>
        <w:tc>
          <w:tcPr>
            <w:tcW w:w="280" w:type="dxa"/>
            <w:vAlign w:val="bottom"/>
            <w:tcBorders>
              <w:top w:val="single" w:sz="8" w:color="2C6937"/>
              <w:bottom w:val="single" w:sz="8" w:color="2C6937"/>
            </w:tcBorders>
          </w:tcPr>
          <w:p>
            <w:pPr>
              <w:spacing w:after="0"/>
              <w:rPr>
                <w:sz w:val="17"/>
                <w:szCs w:val="17"/>
                <w:color w:val="auto"/>
              </w:rPr>
            </w:pPr>
          </w:p>
        </w:tc>
        <w:tc>
          <w:tcPr>
            <w:tcW w:w="740" w:type="dxa"/>
            <w:vAlign w:val="bottom"/>
            <w:tcBorders>
              <w:top w:val="single" w:sz="8" w:color="2C6937"/>
              <w:bottom w:val="single" w:sz="8" w:color="2C6937"/>
            </w:tcBorders>
          </w:tcPr>
          <w:p>
            <w:pPr>
              <w:jc w:val="right"/>
              <w:ind w:right="143"/>
              <w:spacing w:after="0"/>
              <w:rPr>
                <w:sz w:val="20"/>
                <w:szCs w:val="20"/>
                <w:color w:val="auto"/>
              </w:rPr>
            </w:pPr>
            <w:r>
              <w:rPr>
                <w:rFonts w:ascii="Arial" w:cs="Arial" w:eastAsia="Arial" w:hAnsi="Arial"/>
                <w:sz w:val="15"/>
                <w:szCs w:val="15"/>
                <w:b w:val="1"/>
                <w:bCs w:val="1"/>
                <w:color w:val="auto"/>
              </w:rPr>
              <w:t>2023</w:t>
            </w:r>
          </w:p>
        </w:tc>
        <w:tc>
          <w:tcPr>
            <w:tcW w:w="260" w:type="dxa"/>
            <w:vAlign w:val="bottom"/>
            <w:tcBorders>
              <w:top w:val="single" w:sz="8" w:color="2C6937"/>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80" w:type="dxa"/>
            <w:vAlign w:val="bottom"/>
            <w:tcBorders>
              <w:top w:val="single" w:sz="8" w:color="2C6937"/>
              <w:bottom w:val="single" w:sz="8" w:color="2C6937"/>
            </w:tcBorders>
          </w:tcPr>
          <w:p>
            <w:pPr>
              <w:spacing w:after="0"/>
              <w:rPr>
                <w:sz w:val="17"/>
                <w:szCs w:val="17"/>
                <w:color w:val="auto"/>
              </w:rPr>
            </w:pPr>
          </w:p>
        </w:tc>
        <w:tc>
          <w:tcPr>
            <w:tcW w:w="740" w:type="dxa"/>
            <w:vAlign w:val="bottom"/>
            <w:tcBorders>
              <w:top w:val="single" w:sz="8" w:color="2C6937"/>
              <w:bottom w:val="single" w:sz="8" w:color="2C6937"/>
            </w:tcBorders>
          </w:tcPr>
          <w:p>
            <w:pPr>
              <w:jc w:val="right"/>
              <w:ind w:right="143"/>
              <w:spacing w:after="0"/>
              <w:rPr>
                <w:sz w:val="20"/>
                <w:szCs w:val="20"/>
                <w:color w:val="auto"/>
              </w:rPr>
            </w:pPr>
            <w:r>
              <w:rPr>
                <w:rFonts w:ascii="Arial" w:cs="Arial" w:eastAsia="Arial" w:hAnsi="Arial"/>
                <w:sz w:val="15"/>
                <w:szCs w:val="15"/>
                <w:b w:val="1"/>
                <w:bCs w:val="1"/>
                <w:color w:val="auto"/>
              </w:rPr>
              <w:t>2024</w:t>
            </w:r>
          </w:p>
        </w:tc>
        <w:tc>
          <w:tcPr>
            <w:tcW w:w="360" w:type="dxa"/>
            <w:vAlign w:val="bottom"/>
            <w:tcBorders>
              <w:top w:val="single" w:sz="8" w:color="2C6937"/>
              <w:bottom w:val="single" w:sz="8" w:color="2C6937"/>
            </w:tcBorders>
          </w:tcPr>
          <w:p>
            <w:pPr>
              <w:spacing w:after="0"/>
              <w:rPr>
                <w:sz w:val="17"/>
                <w:szCs w:val="17"/>
                <w:color w:val="auto"/>
              </w:rPr>
            </w:pPr>
          </w:p>
        </w:tc>
        <w:tc>
          <w:tcPr>
            <w:tcW w:w="300" w:type="dxa"/>
            <w:vAlign w:val="bottom"/>
            <w:tcBorders>
              <w:top w:val="single" w:sz="8" w:color="2C6937"/>
              <w:bottom w:val="single" w:sz="8" w:color="2C6937"/>
            </w:tcBorders>
          </w:tcPr>
          <w:p>
            <w:pPr>
              <w:spacing w:after="0"/>
              <w:rPr>
                <w:sz w:val="17"/>
                <w:szCs w:val="17"/>
                <w:color w:val="auto"/>
              </w:rPr>
            </w:pPr>
          </w:p>
        </w:tc>
        <w:tc>
          <w:tcPr>
            <w:tcW w:w="720" w:type="dxa"/>
            <w:vAlign w:val="bottom"/>
            <w:tcBorders>
              <w:top w:val="single" w:sz="8" w:color="2C6937"/>
              <w:bottom w:val="single" w:sz="8" w:color="2C6937"/>
            </w:tcBorders>
          </w:tcPr>
          <w:p>
            <w:pPr>
              <w:jc w:val="right"/>
              <w:ind w:right="103"/>
              <w:spacing w:after="0"/>
              <w:rPr>
                <w:sz w:val="20"/>
                <w:szCs w:val="20"/>
                <w:color w:val="auto"/>
              </w:rPr>
            </w:pPr>
            <w:r>
              <w:rPr>
                <w:rFonts w:ascii="Arial" w:cs="Arial" w:eastAsia="Arial" w:hAnsi="Arial"/>
                <w:sz w:val="15"/>
                <w:szCs w:val="15"/>
                <w:b w:val="1"/>
                <w:bCs w:val="1"/>
                <w:color w:val="auto"/>
              </w:rPr>
              <w:t>2023</w:t>
            </w:r>
          </w:p>
        </w:tc>
        <w:tc>
          <w:tcPr>
            <w:tcW w:w="300" w:type="dxa"/>
            <w:vAlign w:val="bottom"/>
            <w:tcBorders>
              <w:top w:val="single" w:sz="8" w:color="2C6937"/>
              <w:bottom w:val="single" w:sz="8" w:color="2C6937"/>
            </w:tcBorders>
          </w:tcPr>
          <w:p>
            <w:pPr>
              <w:spacing w:after="0"/>
              <w:rPr>
                <w:sz w:val="17"/>
                <w:szCs w:val="17"/>
                <w:color w:val="auto"/>
              </w:rPr>
            </w:pPr>
          </w:p>
        </w:tc>
      </w:tr>
      <w:tr>
        <w:trPr>
          <w:trHeight w:val="296"/>
        </w:trPr>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5"/>
                <w:szCs w:val="15"/>
                <w:b w:val="1"/>
                <w:bCs w:val="1"/>
                <w:color w:val="auto"/>
              </w:rPr>
              <w:t>(Dollars in millions)</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2"/>
        </w:trPr>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(38)</w:t>
            </w:r>
          </w:p>
        </w:tc>
        <w:tc>
          <w:tcPr>
            <w:tcW w:w="380" w:type="dxa"/>
            <w:vAlign w:val="bottom"/>
          </w:tcPr>
          <w:p>
            <w:pPr>
              <w:spacing w:after="0"/>
              <w:rPr>
                <w:sz w:val="24"/>
                <w:szCs w:val="24"/>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(17)</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(171)</w:t>
            </w:r>
          </w:p>
        </w:tc>
        <w:tc>
          <w:tcPr>
            <w:tcW w:w="36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(254)</w:t>
            </w:r>
          </w:p>
        </w:tc>
        <w:tc>
          <w:tcPr>
            <w:tcW w:w="300" w:type="dxa"/>
            <w:vAlign w:val="bottom"/>
          </w:tcPr>
          <w:p>
            <w:pPr>
              <w:spacing w:after="0"/>
              <w:rPr>
                <w:sz w:val="24"/>
                <w:szCs w:val="24"/>
                <w:color w:val="auto"/>
              </w:rPr>
            </w:pPr>
          </w:p>
        </w:tc>
      </w:tr>
      <w:tr>
        <w:trPr>
          <w:trHeight w:val="309"/>
        </w:trPr>
        <w:tc>
          <w:tcPr>
            <w:tcW w:w="28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b w:val="1"/>
                <w:bCs w:val="1"/>
                <w:color w:val="auto"/>
              </w:rPr>
              <w:t>12</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b w:val="1"/>
                <w:bCs w:val="1"/>
                <w:color w:val="auto"/>
              </w:rPr>
              <w:t>33</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w:t>
            </w:r>
          </w:p>
        </w:tc>
        <w:tc>
          <w:tcPr>
            <w:tcW w:w="300" w:type="dxa"/>
            <w:vAlign w:val="bottom"/>
          </w:tcPr>
          <w:p>
            <w:pPr>
              <w:spacing w:after="0"/>
              <w:rPr>
                <w:sz w:val="24"/>
                <w:szCs w:val="24"/>
                <w:color w:val="auto"/>
              </w:rPr>
            </w:pPr>
          </w:p>
        </w:tc>
      </w:tr>
      <w:tr>
        <w:trPr>
          <w:trHeight w:val="303"/>
        </w:trPr>
        <w:tc>
          <w:tcPr>
            <w:tcW w:w="28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w:t>
            </w:r>
          </w:p>
        </w:tc>
        <w:tc>
          <w:tcPr>
            <w:tcW w:w="38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(45)</w:t>
            </w:r>
          </w:p>
        </w:tc>
        <w:tc>
          <w:tcPr>
            <w:tcW w:w="36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w:t>
            </w:r>
          </w:p>
        </w:tc>
        <w:tc>
          <w:tcPr>
            <w:tcW w:w="300" w:type="dxa"/>
            <w:vAlign w:val="bottom"/>
          </w:tcPr>
          <w:p>
            <w:pPr>
              <w:spacing w:after="0"/>
              <w:rPr>
                <w:sz w:val="24"/>
                <w:szCs w:val="24"/>
                <w:color w:val="auto"/>
              </w:rPr>
            </w:pPr>
          </w:p>
        </w:tc>
      </w:tr>
      <w:tr>
        <w:trPr>
          <w:trHeight w:val="309"/>
        </w:trPr>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(51)</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(183)</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(284)</w:t>
            </w:r>
          </w:p>
        </w:tc>
        <w:tc>
          <w:tcPr>
            <w:tcW w:w="300" w:type="dxa"/>
            <w:vAlign w:val="bottom"/>
          </w:tcPr>
          <w:p>
            <w:pPr>
              <w:spacing w:after="0"/>
              <w:rPr>
                <w:sz w:val="24"/>
                <w:szCs w:val="24"/>
                <w:color w:val="auto"/>
              </w:rPr>
            </w:pPr>
          </w:p>
        </w:tc>
      </w:tr>
      <w:tr>
        <w:trPr>
          <w:trHeight w:val="303"/>
        </w:trPr>
        <w:tc>
          <w:tcPr>
            <w:tcW w:w="28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16</w:t>
            </w:r>
          </w:p>
        </w:tc>
        <w:tc>
          <w:tcPr>
            <w:tcW w:w="38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53</w:t>
            </w:r>
          </w:p>
        </w:tc>
        <w:tc>
          <w:tcPr>
            <w:tcW w:w="36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31</w:t>
            </w:r>
          </w:p>
        </w:tc>
        <w:tc>
          <w:tcPr>
            <w:tcW w:w="300" w:type="dxa"/>
            <w:vAlign w:val="bottom"/>
          </w:tcPr>
          <w:p>
            <w:pPr>
              <w:spacing w:after="0"/>
              <w:rPr>
                <w:sz w:val="24"/>
                <w:szCs w:val="24"/>
                <w:color w:val="auto"/>
              </w:rPr>
            </w:pPr>
          </w:p>
        </w:tc>
      </w:tr>
      <w:tr>
        <w:trPr>
          <w:trHeight w:val="302"/>
        </w:trPr>
        <w:tc>
          <w:tcPr>
            <w:tcW w:w="28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(35)</w:t>
            </w:r>
          </w:p>
        </w:tc>
        <w:tc>
          <w:tcPr>
            <w:tcW w:w="380" w:type="dxa"/>
            <w:vAlign w:val="bottom"/>
          </w:tcPr>
          <w:p>
            <w:pPr>
              <w:spacing w:after="0"/>
              <w:rPr>
                <w:sz w:val="24"/>
                <w:szCs w:val="24"/>
                <w:color w:val="auto"/>
              </w:rPr>
            </w:pPr>
          </w:p>
        </w:tc>
        <w:tc>
          <w:tcPr>
            <w:tcW w:w="28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(130)</w:t>
            </w:r>
          </w:p>
        </w:tc>
        <w:tc>
          <w:tcPr>
            <w:tcW w:w="360" w:type="dxa"/>
            <w:vAlign w:val="bottom"/>
          </w:tcPr>
          <w:p>
            <w:pPr>
              <w:spacing w:after="0"/>
              <w:rPr>
                <w:sz w:val="24"/>
                <w:szCs w:val="24"/>
                <w:color w:val="auto"/>
              </w:rPr>
            </w:pPr>
          </w:p>
        </w:tc>
        <w:tc>
          <w:tcPr>
            <w:tcW w:w="300" w:type="dxa"/>
            <w:vAlign w:val="bottom"/>
            <w:tcBorders>
              <w:bottom w:val="single" w:sz="8" w:color="2C6937"/>
            </w:tcBorders>
          </w:tcPr>
          <w:p>
            <w:pPr>
              <w:jc w:val="right"/>
              <w:ind w:right="1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(253)</w:t>
            </w:r>
          </w:p>
        </w:tc>
        <w:tc>
          <w:tcPr>
            <w:tcW w:w="300" w:type="dxa"/>
            <w:vAlign w:val="bottom"/>
          </w:tcPr>
          <w:p>
            <w:pPr>
              <w:spacing w:after="0"/>
              <w:rPr>
                <w:sz w:val="24"/>
                <w:szCs w:val="24"/>
                <w:color w:val="auto"/>
              </w:rPr>
            </w:pPr>
          </w:p>
        </w:tc>
      </w:tr>
      <w:tr>
        <w:trPr>
          <w:trHeight w:val="20"/>
        </w:trPr>
        <w:tc>
          <w:tcPr>
            <w:tcW w:w="28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85"/>
        </w:trPr>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(4.3)</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(7.7)</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(12.7)</w:t>
            </w:r>
          </w:p>
        </w:tc>
        <w:tc>
          <w:tcPr>
            <w:tcW w:w="300" w:type="dxa"/>
            <w:vAlign w:val="bottom"/>
          </w:tcPr>
          <w:p>
            <w:pPr>
              <w:spacing w:after="0"/>
              <w:rPr>
                <w:sz w:val="24"/>
                <w:szCs w:val="24"/>
                <w:color w:val="auto"/>
              </w:rPr>
            </w:pPr>
          </w:p>
        </w:tc>
      </w:tr>
      <w:tr>
        <w:trPr>
          <w:trHeight w:val="309"/>
        </w:trPr>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(2.9)</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(5.5)</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(11.3)</w:t>
            </w:r>
          </w:p>
        </w:tc>
        <w:tc>
          <w:tcPr>
            <w:tcW w:w="300" w:type="dxa"/>
            <w:vAlign w:val="bottom"/>
          </w:tcPr>
          <w:p>
            <w:pPr>
              <w:spacing w:after="0"/>
              <w:rPr>
                <w:sz w:val="24"/>
                <w:szCs w:val="24"/>
                <w:color w:val="auto"/>
              </w:rPr>
            </w:pPr>
          </w:p>
        </w:tc>
      </w:tr>
      <w:tr>
        <w:trPr>
          <w:trHeight w:val="309"/>
        </w:trPr>
        <w:tc>
          <w:tcPr>
            <w:tcW w:w="28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3.8 %</w:t>
            </w:r>
          </w:p>
        </w:tc>
        <w:tc>
          <w:tcPr>
            <w:tcW w:w="28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69.1 %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26.9 %</w:t>
            </w:r>
          </w:p>
        </w:tc>
        <w:tc>
          <w:tcPr>
            <w:tcW w:w="3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13.2 %</w:t>
            </w:r>
          </w:p>
        </w:tc>
      </w:tr>
      <w:tr>
        <w:trPr>
          <w:trHeight w:val="309"/>
        </w:trPr>
        <w:tc>
          <w:tcPr>
            <w:tcW w:w="28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b w:val="1"/>
                <w:bCs w:val="1"/>
                <w:color w:val="auto"/>
              </w:rPr>
              <w:t>11</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w:t>
            </w:r>
          </w:p>
        </w:tc>
        <w:tc>
          <w:tcPr>
            <w:tcW w:w="300" w:type="dxa"/>
            <w:vAlign w:val="bottom"/>
          </w:tcPr>
          <w:p>
            <w:pPr>
              <w:spacing w:after="0"/>
              <w:rPr>
                <w:sz w:val="24"/>
                <w:szCs w:val="24"/>
                <w:color w:val="auto"/>
              </w:rPr>
            </w:pPr>
          </w:p>
        </w:tc>
      </w:tr>
    </w:tbl>
    <w:p>
      <w:pPr>
        <w:spacing w:after="0" w:line="115" w:lineRule="exact"/>
        <w:rPr>
          <w:sz w:val="20"/>
          <w:szCs w:val="20"/>
          <w:color w:val="auto"/>
        </w:rPr>
      </w:pPr>
    </w:p>
    <w:p>
      <w:pPr>
        <w:sectPr>
          <w:pgSz w:w="11900" w:h="16838" w:orient="portrait"/>
          <w:cols w:equalWidth="0" w:num="2">
            <w:col w:w="5580" w:space="160"/>
            <w:col w:w="5500"/>
          </w:cols>
          <w:pgMar w:left="320" w:top="248" w:right="339" w:bottom="1440" w:gutter="0" w:footer="0" w:header="0"/>
          <w:type w:val="continuous"/>
        </w:sectPr>
      </w:pPr>
    </w:p>
    <w:p>
      <w:pPr>
        <w:ind w:left="240" w:right="80" w:hanging="237"/>
        <w:spacing w:after="0" w:line="226" w:lineRule="auto"/>
        <w:tabs>
          <w:tab w:leader="none" w:pos="233"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Represents write-offs when a loan is determined to be uncollectible prior to a liquidation event, which includes foreclosure, a deed-in-lieu of foreclosure or a short-sale (collectively a “liquidation event”), as well as write-offs at liquidation. Write-offs associated with non-REO sales are net of loss sharing.</w:t>
      </w:r>
    </w:p>
    <w:p>
      <w:pPr>
        <w:spacing w:after="0" w:line="27" w:lineRule="exact"/>
        <w:rPr>
          <w:rFonts w:ascii="Arial" w:cs="Arial" w:eastAsia="Arial" w:hAnsi="Arial"/>
          <w:sz w:val="18"/>
          <w:szCs w:val="18"/>
          <w:color w:val="auto"/>
          <w:vertAlign w:val="superscript"/>
        </w:rPr>
      </w:pPr>
    </w:p>
    <w:p>
      <w:pPr>
        <w:ind w:left="240" w:right="380" w:hanging="237"/>
        <w:spacing w:after="0" w:line="228" w:lineRule="auto"/>
        <w:tabs>
          <w:tab w:leader="none" w:pos="233"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Represents changes to the benefit we expect to receive only from write-offs as a result of certain freestanding loss-sharing arrangements, primarily multifamily DUS lender risk-sharing transactions. Changes to the expected benefits we will receive are recorded in “Change in expected credit enhancement recoveries” in our condensed consolidated statements of operations and comprehensive income.</w:t>
      </w:r>
    </w:p>
    <w:p>
      <w:pPr>
        <w:spacing w:after="0" w:line="26" w:lineRule="exact"/>
        <w:rPr>
          <w:rFonts w:ascii="Arial" w:cs="Arial" w:eastAsia="Arial" w:hAnsi="Arial"/>
          <w:sz w:val="18"/>
          <w:szCs w:val="18"/>
          <w:color w:val="auto"/>
          <w:vertAlign w:val="superscript"/>
        </w:rPr>
      </w:pPr>
    </w:p>
    <w:p>
      <w:pPr>
        <w:ind w:left="240" w:right="120" w:hanging="237"/>
        <w:spacing w:after="0" w:line="226" w:lineRule="auto"/>
        <w:tabs>
          <w:tab w:leader="none" w:pos="233"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gains (losses)” and “Credit gains (losses), net of freestanding loss-sharing arrangements,” divided by the average multifamily guaranty book of business during the period.</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Rate is calculated as the initial write-off amount divided by the average defaulted unpaid principal balance.</w:t>
      </w:r>
    </w:p>
    <w:p>
      <w:pPr>
        <w:spacing w:after="0" w:line="37" w:lineRule="exact"/>
        <w:rPr>
          <w:rFonts w:ascii="Arial" w:cs="Arial" w:eastAsia="Arial" w:hAnsi="Arial"/>
          <w:sz w:val="18"/>
          <w:szCs w:val="18"/>
          <w:color w:val="auto"/>
          <w:vertAlign w:val="superscript"/>
        </w:rPr>
      </w:pPr>
    </w:p>
    <w:p>
      <w:pPr>
        <w:ind w:left="240" w:right="200" w:hanging="237"/>
        <w:spacing w:after="0" w:line="210" w:lineRule="auto"/>
        <w:tabs>
          <w:tab w:leader="none" w:pos="233"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Based on write-offs associated with a liquidation event. The rate excludes any costs, gains or losses associated with REO after initial acquisition through final disposition. The rate also excludes write-offs when a loan is determined to be uncollectible prior to a liquidation event. Write-offs are net of lender loss-sharing agreements.</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6"/>
        </w:numPr>
        <w:rPr>
          <w:rFonts w:ascii="Arial" w:cs="Arial" w:eastAsia="Arial" w:hAnsi="Arial"/>
          <w:sz w:val="9"/>
          <w:szCs w:val="9"/>
          <w:color w:val="auto"/>
        </w:rPr>
      </w:pPr>
      <w:r>
        <w:rPr>
          <w:rFonts w:ascii="Arial" w:cs="Arial" w:eastAsia="Arial" w:hAnsi="Arial"/>
          <w:sz w:val="14"/>
          <w:szCs w:val="14"/>
          <w:color w:val="auto"/>
        </w:rPr>
        <w:t>Represents the number of loans that experienced write-offs associated with a liquidation event during the period.</w:t>
      </w:r>
    </w:p>
    <w:p>
      <w:pPr>
        <w:spacing w:after="0" w:line="9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Our multifamily credit losses decreased in the first half of 2024 compared with the first half of 2023 primarily as a result of fewer write-offs. Our multifamily credit losses in the first half of 2023 were primarily driven by write-offs on a seniors housing portfolio during the first quarter of 2023.</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43</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46" w:name="page47"/>
    <w:bookmarkEnd w:id="46"/>
    <w:p>
      <w:pPr>
        <w:ind w:left="7240"/>
        <w:spacing w:after="0"/>
        <w:rPr>
          <w:sz w:val="20"/>
          <w:szCs w:val="20"/>
          <w:color w:val="auto"/>
        </w:rPr>
      </w:pPr>
      <w:r>
        <w:rPr>
          <w:rFonts w:ascii="Arial" w:cs="Arial" w:eastAsia="Arial" w:hAnsi="Arial"/>
          <w:sz w:val="13"/>
          <w:szCs w:val="13"/>
          <w:color w:val="05314D"/>
        </w:rPr>
        <w:t>MD&amp;A | 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table below displays select credit ratios on our single-family conventional guaranty book of business and our multifamily guaranty book of business, as well as the inputs used in calculating these ratios.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5" w:lineRule="exact"/>
        <w:rPr>
          <w:sz w:val="20"/>
          <w:szCs w:val="20"/>
          <w:color w:val="auto"/>
        </w:rPr>
      </w:pPr>
    </w:p>
    <w:p>
      <w:pPr>
        <w:ind w:left="7000"/>
        <w:spacing w:after="0"/>
        <w:rPr>
          <w:sz w:val="20"/>
          <w:szCs w:val="20"/>
          <w:color w:val="auto"/>
        </w:rPr>
      </w:pPr>
      <w:r>
        <w:rPr>
          <w:rFonts w:ascii="Arial" w:cs="Arial" w:eastAsia="Arial" w:hAnsi="Arial"/>
          <w:sz w:val="15"/>
          <w:szCs w:val="15"/>
          <w:b w:val="1"/>
          <w:bCs w:val="1"/>
          <w:color w:val="auto"/>
        </w:rPr>
        <w:t>As of</w:t>
      </w:r>
    </w:p>
    <w:p>
      <w:pPr>
        <w:spacing w:after="0" w:line="31" w:lineRule="exact"/>
        <w:rPr>
          <w:sz w:val="20"/>
          <w:szCs w:val="20"/>
          <w:color w:val="auto"/>
        </w:rPr>
      </w:pPr>
    </w:p>
    <w:tbl>
      <w:tblPr>
        <w:tblLayout w:type="fixed"/>
        <w:tblInd w:w="3120" w:type="dxa"/>
        <w:tblCellMar>
          <w:top w:w="0" w:type="dxa"/>
          <w:left w:w="0" w:type="dxa"/>
          <w:bottom w:w="0" w:type="dxa"/>
          <w:right w:w="0" w:type="dxa"/>
        </w:tblCellMar>
      </w:tblPr>
      <w:tr>
        <w:trPr>
          <w:trHeight w:val="206"/>
        </w:trPr>
        <w:tc>
          <w:tcPr>
            <w:tcW w:w="1300" w:type="dxa"/>
            <w:vAlign w:val="bottom"/>
            <w:tcBorders>
              <w:top w:val="single" w:sz="8" w:color="216C2B"/>
              <w:bottom w:val="single" w:sz="8" w:color="2C6937"/>
            </w:tcBorders>
          </w:tcPr>
          <w:p>
            <w:pPr>
              <w:spacing w:after="0"/>
              <w:rPr>
                <w:sz w:val="17"/>
                <w:szCs w:val="17"/>
                <w:color w:val="auto"/>
              </w:rPr>
            </w:pPr>
          </w:p>
        </w:tc>
        <w:tc>
          <w:tcPr>
            <w:tcW w:w="1280" w:type="dxa"/>
            <w:vAlign w:val="bottom"/>
            <w:tcBorders>
              <w:top w:val="single" w:sz="8" w:color="216C2B"/>
              <w:bottom w:val="single" w:sz="8" w:color="2C6937"/>
            </w:tcBorders>
          </w:tcPr>
          <w:p>
            <w:pPr>
              <w:ind w:left="220"/>
              <w:spacing w:after="0"/>
              <w:rPr>
                <w:sz w:val="20"/>
                <w:szCs w:val="20"/>
                <w:color w:val="auto"/>
              </w:rPr>
            </w:pPr>
            <w:r>
              <w:rPr>
                <w:rFonts w:ascii="Arial" w:cs="Arial" w:eastAsia="Arial" w:hAnsi="Arial"/>
                <w:sz w:val="15"/>
                <w:szCs w:val="15"/>
                <w:b w:val="1"/>
                <w:bCs w:val="1"/>
                <w:color w:val="auto"/>
              </w:rPr>
              <w:t>June 30, 2024</w:t>
            </w:r>
          </w:p>
        </w:tc>
        <w:tc>
          <w:tcPr>
            <w:tcW w:w="1420" w:type="dxa"/>
            <w:vAlign w:val="bottom"/>
            <w:tcBorders>
              <w:top w:val="single" w:sz="8" w:color="216C2B"/>
              <w:bottom w:val="single" w:sz="8" w:color="2C6937"/>
            </w:tcBorders>
          </w:tcPr>
          <w:p>
            <w:pPr>
              <w:spacing w:after="0"/>
              <w:rPr>
                <w:sz w:val="17"/>
                <w:szCs w:val="17"/>
                <w:color w:val="auto"/>
              </w:rPr>
            </w:pPr>
          </w:p>
        </w:tc>
        <w:tc>
          <w:tcPr>
            <w:tcW w:w="100" w:type="dxa"/>
            <w:vAlign w:val="bottom"/>
            <w:tcBorders>
              <w:top w:val="single" w:sz="8" w:color="216C2B"/>
            </w:tcBorders>
          </w:tcPr>
          <w:p>
            <w:pPr>
              <w:spacing w:after="0"/>
              <w:rPr>
                <w:sz w:val="17"/>
                <w:szCs w:val="17"/>
                <w:color w:val="auto"/>
              </w:rPr>
            </w:pPr>
          </w:p>
        </w:tc>
        <w:tc>
          <w:tcPr>
            <w:tcW w:w="1220" w:type="dxa"/>
            <w:vAlign w:val="bottom"/>
            <w:tcBorders>
              <w:top w:val="single" w:sz="8" w:color="216C2B"/>
              <w:bottom w:val="single" w:sz="8" w:color="2C6937"/>
            </w:tcBorders>
          </w:tcPr>
          <w:p>
            <w:pPr>
              <w:spacing w:after="0"/>
              <w:rPr>
                <w:sz w:val="17"/>
                <w:szCs w:val="17"/>
                <w:color w:val="auto"/>
              </w:rPr>
            </w:pPr>
          </w:p>
        </w:tc>
        <w:tc>
          <w:tcPr>
            <w:tcW w:w="1560" w:type="dxa"/>
            <w:vAlign w:val="bottom"/>
            <w:tcBorders>
              <w:top w:val="single" w:sz="8" w:color="216C2B"/>
              <w:bottom w:val="single" w:sz="8" w:color="2C6937"/>
            </w:tcBorders>
          </w:tcPr>
          <w:p>
            <w:pPr>
              <w:ind w:left="140"/>
              <w:spacing w:after="0"/>
              <w:rPr>
                <w:sz w:val="20"/>
                <w:szCs w:val="20"/>
                <w:color w:val="auto"/>
              </w:rPr>
            </w:pPr>
            <w:r>
              <w:rPr>
                <w:rFonts w:ascii="Arial" w:cs="Arial" w:eastAsia="Arial" w:hAnsi="Arial"/>
                <w:sz w:val="15"/>
                <w:szCs w:val="15"/>
                <w:b w:val="1"/>
                <w:bCs w:val="1"/>
                <w:color w:val="auto"/>
              </w:rPr>
              <w:t>December 31, 2023</w:t>
            </w:r>
          </w:p>
        </w:tc>
        <w:tc>
          <w:tcPr>
            <w:tcW w:w="1240" w:type="dxa"/>
            <w:vAlign w:val="bottom"/>
            <w:tcBorders>
              <w:top w:val="single" w:sz="8" w:color="216C2B"/>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30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Single-family</w:t>
            </w:r>
          </w:p>
        </w:tc>
        <w:tc>
          <w:tcPr>
            <w:tcW w:w="1280" w:type="dxa"/>
            <w:vAlign w:val="bottom"/>
            <w:vMerge w:val="restart"/>
          </w:tcPr>
          <w:p>
            <w:pPr>
              <w:ind w:left="260"/>
              <w:spacing w:after="0"/>
              <w:rPr>
                <w:sz w:val="20"/>
                <w:szCs w:val="20"/>
                <w:color w:val="auto"/>
              </w:rPr>
            </w:pPr>
            <w:r>
              <w:rPr>
                <w:rFonts w:ascii="Arial" w:cs="Arial" w:eastAsia="Arial" w:hAnsi="Arial"/>
                <w:sz w:val="15"/>
                <w:szCs w:val="15"/>
                <w:b w:val="1"/>
                <w:bCs w:val="1"/>
                <w:color w:val="auto"/>
              </w:rPr>
              <w:t>Multifamily</w:t>
            </w:r>
          </w:p>
        </w:tc>
        <w:tc>
          <w:tcPr>
            <w:tcW w:w="152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Consolidated Total</w:t>
            </w:r>
          </w:p>
        </w:tc>
        <w:tc>
          <w:tcPr>
            <w:tcW w:w="12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Single-family</w:t>
            </w:r>
          </w:p>
        </w:tc>
        <w:tc>
          <w:tcPr>
            <w:tcW w:w="1560" w:type="dxa"/>
            <w:vAlign w:val="bottom"/>
            <w:vMerge w:val="restart"/>
          </w:tcPr>
          <w:p>
            <w:pPr>
              <w:ind w:left="380"/>
              <w:spacing w:after="0"/>
              <w:rPr>
                <w:sz w:val="20"/>
                <w:szCs w:val="20"/>
                <w:color w:val="auto"/>
              </w:rPr>
            </w:pPr>
            <w:r>
              <w:rPr>
                <w:rFonts w:ascii="Arial" w:cs="Arial" w:eastAsia="Arial" w:hAnsi="Arial"/>
                <w:sz w:val="15"/>
                <w:szCs w:val="15"/>
                <w:b w:val="1"/>
                <w:bCs w:val="1"/>
                <w:color w:val="auto"/>
              </w:rPr>
              <w:t>Multifamily</w:t>
            </w:r>
          </w:p>
        </w:tc>
        <w:tc>
          <w:tcPr>
            <w:tcW w:w="1240" w:type="dxa"/>
            <w:vAlign w:val="bottom"/>
          </w:tcPr>
          <w:p>
            <w:pPr>
              <w:jc w:val="center"/>
              <w:ind w:right="7"/>
              <w:spacing w:after="0" w:line="144" w:lineRule="exact"/>
              <w:rPr>
                <w:sz w:val="20"/>
                <w:szCs w:val="20"/>
                <w:color w:val="auto"/>
              </w:rPr>
            </w:pPr>
            <w:r>
              <w:rPr>
                <w:rFonts w:ascii="Arial" w:cs="Arial" w:eastAsia="Arial" w:hAnsi="Arial"/>
                <w:sz w:val="15"/>
                <w:szCs w:val="15"/>
                <w:b w:val="1"/>
                <w:bCs w:val="1"/>
                <w:color w:val="auto"/>
                <w:w w:val="96"/>
              </w:rPr>
              <w:t>Consolidated</w:t>
            </w:r>
          </w:p>
        </w:tc>
        <w:tc>
          <w:tcPr>
            <w:tcW w:w="0" w:type="dxa"/>
            <w:vAlign w:val="bottom"/>
          </w:tcPr>
          <w:p>
            <w:pPr>
              <w:spacing w:after="0"/>
              <w:rPr>
                <w:sz w:val="1"/>
                <w:szCs w:val="1"/>
                <w:color w:val="auto"/>
              </w:rPr>
            </w:pPr>
          </w:p>
        </w:tc>
      </w:tr>
      <w:tr>
        <w:trPr>
          <w:trHeight w:val="200"/>
        </w:trPr>
        <w:tc>
          <w:tcPr>
            <w:tcW w:w="13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-635</wp:posOffset>
            </wp:positionV>
            <wp:extent cx="516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65725" cy="8255"/>
                    </a:xfrm>
                    <a:prstGeom prst="rect">
                      <a:avLst/>
                    </a:prstGeom>
                    <a:noFill/>
                  </pic:spPr>
                </pic:pic>
              </a:graphicData>
            </a:graphic>
          </wp:anchor>
        </w:drawing>
      </w:r>
    </w:p>
    <w:p>
      <w:pPr>
        <w:ind w:left="6500"/>
        <w:spacing w:after="0"/>
        <w:rPr>
          <w:sz w:val="20"/>
          <w:szCs w:val="20"/>
          <w:color w:val="auto"/>
        </w:rPr>
      </w:pPr>
      <w:r>
        <w:rPr>
          <w:rFonts w:ascii="Arial" w:cs="Arial" w:eastAsia="Arial" w:hAnsi="Arial"/>
          <w:sz w:val="15"/>
          <w:szCs w:val="15"/>
          <w:b w:val="1"/>
          <w:bCs w:val="1"/>
          <w:color w:val="auto"/>
        </w:rPr>
        <w:t>(Dollars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120" w:type="dxa"/>
            <w:vAlign w:val="bottom"/>
            <w:gridSpan w:val="2"/>
          </w:tcPr>
          <w:p>
            <w:pPr>
              <w:ind w:left="20"/>
              <w:spacing w:after="0"/>
              <w:rPr>
                <w:sz w:val="20"/>
                <w:szCs w:val="20"/>
                <w:color w:val="auto"/>
              </w:rPr>
            </w:pPr>
            <w:r>
              <w:rPr>
                <w:rFonts w:ascii="Arial" w:cs="Arial" w:eastAsia="Arial" w:hAnsi="Arial"/>
                <w:sz w:val="15"/>
                <w:szCs w:val="15"/>
                <w:b w:val="1"/>
                <w:bCs w:val="1"/>
                <w:color w:val="auto"/>
              </w:rPr>
              <w:t>Credit loss reserves as a percentage of:</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6"/>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Guaranty book of business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0.16</w:t>
            </w:r>
          </w:p>
        </w:tc>
        <w:tc>
          <w:tcPr>
            <w:tcW w:w="360" w:type="dxa"/>
            <w:vAlign w:val="bottom"/>
          </w:tcPr>
          <w:p>
            <w:pPr>
              <w:jc w:val="right"/>
              <w:ind w:right="147"/>
              <w:spacing w:after="0"/>
              <w:rPr>
                <w:sz w:val="20"/>
                <w:szCs w:val="20"/>
                <w:color w:val="auto"/>
              </w:rPr>
            </w:pPr>
            <w:r>
              <w:rPr>
                <w:rFonts w:ascii="Arial" w:cs="Arial" w:eastAsia="Arial" w:hAnsi="Arial"/>
                <w:sz w:val="15"/>
                <w:szCs w:val="15"/>
                <w:b w:val="1"/>
                <w:bCs w:val="1"/>
                <w:color w:val="auto"/>
                <w:w w:val="89"/>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0.49</w:t>
            </w:r>
          </w:p>
        </w:tc>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0.20</w:t>
            </w:r>
          </w:p>
        </w:tc>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0.18</w:t>
            </w:r>
          </w:p>
        </w:tc>
        <w:tc>
          <w:tcPr>
            <w:tcW w:w="380" w:type="dxa"/>
            <w:vAlign w:val="bottom"/>
          </w:tcPr>
          <w:p>
            <w:pPr>
              <w:jc w:val="right"/>
              <w:ind w:right="167"/>
              <w:spacing w:after="0"/>
              <w:rPr>
                <w:sz w:val="20"/>
                <w:szCs w:val="20"/>
                <w:color w:val="auto"/>
              </w:rPr>
            </w:pPr>
            <w:r>
              <w:rPr>
                <w:rFonts w:ascii="Arial" w:cs="Arial" w:eastAsia="Arial" w:hAnsi="Arial"/>
                <w:sz w:val="15"/>
                <w:szCs w:val="15"/>
                <w:color w:val="auto"/>
                <w:w w:val="89"/>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0.44</w:t>
            </w:r>
          </w:p>
        </w:tc>
        <w:tc>
          <w:tcPr>
            <w:tcW w:w="38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0.21</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Nonaccrual loans at amortized cost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24.17</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126.84</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31.56</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28.50</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109.21</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34.51</w:t>
            </w:r>
          </w:p>
        </w:tc>
        <w:tc>
          <w:tcPr>
            <w:tcW w:w="240" w:type="dxa"/>
            <w:vAlign w:val="bottom"/>
          </w:tcPr>
          <w:p>
            <w:pPr>
              <w:spacing w:after="0"/>
              <w:rPr>
                <w:sz w:val="20"/>
                <w:szCs w:val="20"/>
                <w:color w:val="auto"/>
              </w:rPr>
            </w:pPr>
          </w:p>
        </w:tc>
      </w:tr>
      <w:tr>
        <w:trPr>
          <w:trHeight w:val="438"/>
        </w:trPr>
        <w:tc>
          <w:tcPr>
            <w:tcW w:w="3120" w:type="dxa"/>
            <w:vAlign w:val="bottom"/>
            <w:gridSpan w:val="2"/>
          </w:tcPr>
          <w:p>
            <w:pPr>
              <w:ind w:left="20"/>
              <w:spacing w:after="0"/>
              <w:rPr>
                <w:sz w:val="20"/>
                <w:szCs w:val="20"/>
                <w:color w:val="auto"/>
              </w:rPr>
            </w:pPr>
            <w:r>
              <w:rPr>
                <w:rFonts w:ascii="Arial" w:cs="Arial" w:eastAsia="Arial" w:hAnsi="Arial"/>
                <w:sz w:val="15"/>
                <w:szCs w:val="15"/>
                <w:b w:val="1"/>
                <w:bCs w:val="1"/>
                <w:color w:val="auto"/>
              </w:rPr>
              <w:t>Nonaccrual loans as a percentage of:</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Guaranty book of business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0.65</w:t>
            </w:r>
          </w:p>
        </w:tc>
        <w:tc>
          <w:tcPr>
            <w:tcW w:w="360" w:type="dxa"/>
            <w:vAlign w:val="bottom"/>
          </w:tcPr>
          <w:p>
            <w:pPr>
              <w:jc w:val="right"/>
              <w:ind w:right="147"/>
              <w:spacing w:after="0"/>
              <w:rPr>
                <w:sz w:val="20"/>
                <w:szCs w:val="20"/>
                <w:color w:val="auto"/>
              </w:rPr>
            </w:pPr>
            <w:r>
              <w:rPr>
                <w:rFonts w:ascii="Arial" w:cs="Arial" w:eastAsia="Arial" w:hAnsi="Arial"/>
                <w:sz w:val="15"/>
                <w:szCs w:val="15"/>
                <w:b w:val="1"/>
                <w:bCs w:val="1"/>
                <w:color w:val="auto"/>
                <w:w w:val="89"/>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0.38</w:t>
            </w:r>
          </w:p>
        </w:tc>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0.62</w:t>
            </w:r>
          </w:p>
        </w:tc>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0.65</w:t>
            </w:r>
          </w:p>
        </w:tc>
        <w:tc>
          <w:tcPr>
            <w:tcW w:w="380" w:type="dxa"/>
            <w:vAlign w:val="bottom"/>
          </w:tcPr>
          <w:p>
            <w:pPr>
              <w:jc w:val="right"/>
              <w:ind w:right="167"/>
              <w:spacing w:after="0"/>
              <w:rPr>
                <w:sz w:val="20"/>
                <w:szCs w:val="20"/>
                <w:color w:val="auto"/>
              </w:rPr>
            </w:pPr>
            <w:r>
              <w:rPr>
                <w:rFonts w:ascii="Arial" w:cs="Arial" w:eastAsia="Arial" w:hAnsi="Arial"/>
                <w:sz w:val="15"/>
                <w:szCs w:val="15"/>
                <w:color w:val="auto"/>
                <w:w w:val="89"/>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0.40</w:t>
            </w:r>
          </w:p>
        </w:tc>
        <w:tc>
          <w:tcPr>
            <w:tcW w:w="38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0.62</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93"/>
        </w:trPr>
        <w:tc>
          <w:tcPr>
            <w:tcW w:w="312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financial information used in</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0"/>
        </w:trPr>
        <w:tc>
          <w:tcPr>
            <w:tcW w:w="3120" w:type="dxa"/>
            <w:vAlign w:val="bottom"/>
            <w:gridSpan w:val="2"/>
          </w:tcPr>
          <w:p>
            <w:pPr>
              <w:ind w:left="180"/>
              <w:spacing w:after="0"/>
              <w:rPr>
                <w:sz w:val="20"/>
                <w:szCs w:val="20"/>
                <w:color w:val="auto"/>
              </w:rPr>
            </w:pPr>
            <w:r>
              <w:rPr>
                <w:rFonts w:ascii="Arial" w:cs="Arial" w:eastAsia="Arial" w:hAnsi="Arial"/>
                <w:sz w:val="15"/>
                <w:szCs w:val="15"/>
                <w:b w:val="1"/>
                <w:bCs w:val="1"/>
                <w:color w:val="auto"/>
              </w:rPr>
              <w:t>calculating credit ratios: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8"/>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Credit loss reserves</w:t>
            </w:r>
            <w:r>
              <w:rPr>
                <w:rFonts w:ascii="Arial" w:cs="Arial" w:eastAsia="Arial" w:hAnsi="Arial"/>
                <w:sz w:val="18"/>
                <w:szCs w:val="18"/>
                <w:color w:val="auto"/>
                <w:vertAlign w:val="superscript"/>
              </w:rPr>
              <w:t>(1)</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(5,724)</w:t>
            </w:r>
          </w:p>
        </w:tc>
        <w:tc>
          <w:tcPr>
            <w:tcW w:w="36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(2,330)</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(8,054)</w:t>
            </w:r>
          </w:p>
        </w:tc>
        <w:tc>
          <w:tcPr>
            <w:tcW w:w="380" w:type="dxa"/>
            <w:vAlign w:val="bottom"/>
          </w:tcPr>
          <w:p>
            <w:pPr>
              <w:spacing w:after="0"/>
              <w:rPr>
                <w:sz w:val="20"/>
                <w:szCs w:val="20"/>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(6,696)</w:t>
            </w:r>
          </w:p>
        </w:tc>
        <w:tc>
          <w:tcPr>
            <w:tcW w:w="38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(2,064)</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(8,760)</w:t>
            </w:r>
          </w:p>
        </w:tc>
        <w:tc>
          <w:tcPr>
            <w:tcW w:w="240" w:type="dxa"/>
            <w:vAlign w:val="bottom"/>
          </w:tcPr>
          <w:p>
            <w:pPr>
              <w:spacing w:after="0"/>
              <w:rPr>
                <w:sz w:val="20"/>
                <w:szCs w:val="20"/>
                <w:color w:val="auto"/>
              </w:rPr>
            </w:pPr>
          </w:p>
        </w:tc>
      </w:tr>
      <w:tr>
        <w:trPr>
          <w:trHeight w:val="23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Guaranty book of business</w:t>
            </w:r>
            <w:r>
              <w:rPr>
                <w:rFonts w:ascii="Arial" w:cs="Arial" w:eastAsia="Arial" w:hAnsi="Arial"/>
                <w:sz w:val="18"/>
                <w:szCs w:val="18"/>
                <w:color w:val="auto"/>
                <w:vertAlign w:val="superscript"/>
              </w:rPr>
              <w:t>(2)</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3,624,007</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480,081</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4,104,088</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3,636,735</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470,398</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4,107,133</w:t>
            </w:r>
          </w:p>
        </w:tc>
        <w:tc>
          <w:tcPr>
            <w:tcW w:w="240" w:type="dxa"/>
            <w:vAlign w:val="bottom"/>
          </w:tcPr>
          <w:p>
            <w:pPr>
              <w:spacing w:after="0"/>
              <w:rPr>
                <w:sz w:val="20"/>
                <w:szCs w:val="20"/>
                <w:color w:val="auto"/>
              </w:rPr>
            </w:pPr>
          </w:p>
        </w:tc>
      </w:tr>
      <w:tr>
        <w:trPr>
          <w:trHeight w:val="226"/>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Nonaccrual loans at amortized cost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23,683</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1,837</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25,520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23,497</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1,890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25,387</w:t>
            </w:r>
          </w:p>
        </w:tc>
        <w:tc>
          <w:tcPr>
            <w:tcW w:w="240" w:type="dxa"/>
            <w:vAlign w:val="bottom"/>
          </w:tcPr>
          <w:p>
            <w:pPr>
              <w:spacing w:after="0"/>
              <w:rPr>
                <w:sz w:val="19"/>
                <w:szCs w:val="19"/>
                <w:color w:val="auto"/>
              </w:rPr>
            </w:pPr>
          </w:p>
        </w:tc>
      </w:tr>
      <w:tr>
        <w:trPr>
          <w:trHeight w:val="438"/>
        </w:trPr>
        <w:tc>
          <w:tcPr>
            <w:tcW w:w="3120" w:type="dxa"/>
            <w:vAlign w:val="bottom"/>
            <w:gridSpan w:val="2"/>
          </w:tcPr>
          <w:p>
            <w:pPr>
              <w:ind w:left="20"/>
              <w:spacing w:after="0"/>
              <w:rPr>
                <w:sz w:val="20"/>
                <w:szCs w:val="20"/>
                <w:color w:val="auto"/>
              </w:rPr>
            </w:pPr>
            <w:r>
              <w:rPr>
                <w:rFonts w:ascii="Arial" w:cs="Arial" w:eastAsia="Arial" w:hAnsi="Arial"/>
                <w:sz w:val="15"/>
                <w:szCs w:val="15"/>
                <w:b w:val="1"/>
                <w:bCs w:val="1"/>
                <w:color w:val="auto"/>
              </w:rPr>
              <w:t>Components of credit loss reserves: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Allowance for loan losses</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(5,703)</w:t>
            </w:r>
          </w:p>
        </w:tc>
        <w:tc>
          <w:tcPr>
            <w:tcW w:w="36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(2,323)</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(8,026)</w:t>
            </w:r>
          </w:p>
        </w:tc>
        <w:tc>
          <w:tcPr>
            <w:tcW w:w="380" w:type="dxa"/>
            <w:vAlign w:val="bottom"/>
          </w:tcPr>
          <w:p>
            <w:pPr>
              <w:spacing w:after="0"/>
              <w:rPr>
                <w:sz w:val="20"/>
                <w:szCs w:val="20"/>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(6,671)</w:t>
            </w:r>
          </w:p>
        </w:tc>
        <w:tc>
          <w:tcPr>
            <w:tcW w:w="38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(2,059)</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(8,730)</w:t>
            </w:r>
          </w:p>
        </w:tc>
        <w:tc>
          <w:tcPr>
            <w:tcW w:w="240" w:type="dxa"/>
            <w:vAlign w:val="bottom"/>
          </w:tcPr>
          <w:p>
            <w:pPr>
              <w:spacing w:after="0"/>
              <w:rPr>
                <w:sz w:val="20"/>
                <w:szCs w:val="20"/>
                <w:color w:val="auto"/>
              </w:rPr>
            </w:pPr>
          </w:p>
        </w:tc>
      </w:tr>
      <w:tr>
        <w:trPr>
          <w:trHeight w:val="23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Allowance for accrued interest receivable</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(21)</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w:t>
            </w:r>
          </w:p>
        </w:tc>
        <w:tc>
          <w:tcPr>
            <w:tcW w:w="240" w:type="dxa"/>
            <w:vAlign w:val="bottom"/>
          </w:tcPr>
          <w:p>
            <w:pPr>
              <w:spacing w:after="0"/>
              <w:rPr>
                <w:sz w:val="20"/>
                <w:szCs w:val="20"/>
                <w:color w:val="auto"/>
              </w:rPr>
            </w:pPr>
          </w:p>
        </w:tc>
      </w:tr>
      <w:tr>
        <w:trPr>
          <w:trHeight w:val="230"/>
        </w:trPr>
        <w:tc>
          <w:tcPr>
            <w:tcW w:w="30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Reserve for guaranty losses</w:t>
            </w:r>
            <w:r>
              <w:rPr>
                <w:rFonts w:ascii="Arial" w:cs="Arial" w:eastAsia="Arial" w:hAnsi="Arial"/>
                <w:sz w:val="18"/>
                <w:szCs w:val="18"/>
                <w:color w:val="auto"/>
                <w:vertAlign w:val="superscript"/>
              </w:rPr>
              <w:t>(3)</w:t>
            </w:r>
          </w:p>
        </w:tc>
        <w:tc>
          <w:tcPr>
            <w:tcW w:w="12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w:t>
            </w:r>
          </w:p>
        </w:tc>
        <w:tc>
          <w:tcPr>
            <w:tcW w:w="38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w:t>
            </w:r>
          </w:p>
        </w:tc>
        <w:tc>
          <w:tcPr>
            <w:tcW w:w="38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240" w:type="dxa"/>
            <w:vAlign w:val="bottom"/>
          </w:tcPr>
          <w:p>
            <w:pPr>
              <w:spacing w:after="0"/>
              <w:rPr>
                <w:sz w:val="19"/>
                <w:szCs w:val="19"/>
                <w:color w:val="auto"/>
              </w:rPr>
            </w:pPr>
          </w:p>
        </w:tc>
      </w:tr>
      <w:tr>
        <w:trPr>
          <w:trHeight w:val="225"/>
        </w:trPr>
        <w:tc>
          <w:tcPr>
            <w:tcW w:w="3120" w:type="dxa"/>
            <w:vAlign w:val="bottom"/>
            <w:gridSpan w:val="2"/>
          </w:tcPr>
          <w:p>
            <w:pPr>
              <w:ind w:left="320"/>
              <w:spacing w:after="0"/>
              <w:rPr>
                <w:sz w:val="20"/>
                <w:szCs w:val="20"/>
                <w:color w:val="auto"/>
              </w:rPr>
            </w:pPr>
            <w:r>
              <w:rPr>
                <w:rFonts w:ascii="Arial" w:cs="Arial" w:eastAsia="Arial" w:hAnsi="Arial"/>
                <w:sz w:val="15"/>
                <w:szCs w:val="15"/>
                <w:color w:val="auto"/>
              </w:rPr>
              <w:t>Total credit loss reserves</w:t>
            </w:r>
            <w:r>
              <w:rPr>
                <w:rFonts w:ascii="Arial" w:cs="Arial" w:eastAsia="Arial" w:hAnsi="Arial"/>
                <w:sz w:val="18"/>
                <w:szCs w:val="18"/>
                <w:color w:val="auto"/>
                <w:vertAlign w:val="superscript"/>
              </w:rPr>
              <w:t>(1)</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(5,724)</w:t>
            </w:r>
          </w:p>
        </w:tc>
        <w:tc>
          <w:tcPr>
            <w:tcW w:w="36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(2,330)</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(8,054)</w:t>
            </w:r>
          </w:p>
        </w:tc>
        <w:tc>
          <w:tcPr>
            <w:tcW w:w="380" w:type="dxa"/>
            <w:vAlign w:val="bottom"/>
          </w:tcPr>
          <w:p>
            <w:pPr>
              <w:spacing w:after="0"/>
              <w:rPr>
                <w:sz w:val="19"/>
                <w:szCs w:val="19"/>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(6,696)</w:t>
            </w:r>
          </w:p>
        </w:tc>
        <w:tc>
          <w:tcPr>
            <w:tcW w:w="38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(2,064)</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(8,760)</w:t>
            </w:r>
          </w:p>
        </w:tc>
        <w:tc>
          <w:tcPr>
            <w:tcW w:w="240" w:type="dxa"/>
            <w:vAlign w:val="bottom"/>
          </w:tcPr>
          <w:p>
            <w:pPr>
              <w:spacing w:after="0"/>
              <w:rPr>
                <w:sz w:val="19"/>
                <w:szCs w:val="19"/>
                <w:color w:val="auto"/>
              </w:rPr>
            </w:pPr>
          </w:p>
        </w:tc>
      </w:tr>
      <w:tr>
        <w:trPr>
          <w:trHeight w:val="20"/>
        </w:trPr>
        <w:tc>
          <w:tcPr>
            <w:tcW w:w="30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21" w:lineRule="exact"/>
        <w:rPr>
          <w:sz w:val="20"/>
          <w:szCs w:val="20"/>
          <w:color w:val="auto"/>
        </w:rPr>
      </w:pPr>
    </w:p>
    <w:p>
      <w:pPr>
        <w:ind w:left="240" w:right="40" w:hanging="237"/>
        <w:spacing w:after="0" w:line="226" w:lineRule="auto"/>
        <w:tabs>
          <w:tab w:leader="none" w:pos="233"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Our multifamily credit loss reserves exclude the expected benefit of freestanding credit enhancements on multifamily loans of $776 million as of June 30, 2024 and $599 million as of December 31, 2023, which are recorded in “Other assets” in our condensed consolidated balance sheets.</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Guaranty book of business is as of period end. For single-family represents the conventional guaranty book of business.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Reserve for guaranty losses is recorded in “Other liabilities” in our condensed consolidated balance sheets.</w:t>
      </w:r>
    </w:p>
    <w:p>
      <w:pPr>
        <w:spacing w:after="0" w:line="5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single-family credit loss reserves decreased as of June 30, 2024 compared with December 31, 2023 primarily as a result of a benefit for credit losses, which reduced our single-family allowance for loan losses. Our multifamily credit loss reserves increased as of June 30, 2024 compared with December 31, 2023 primarily as a result of a provision for credit losses, which increased our multifamily allowance for loan losses. See “Consolidated Results of Operations—Benefit (Provision) for Credit Losses” for more information on our single-family benefit for credit losses and our multifamily provision for credit losses.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44</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7" w:name="page48"/>
    <w:bookmarkEnd w:id="47"/>
    <w:p>
      <w:pPr>
        <w:ind w:left="7240"/>
        <w:spacing w:after="0"/>
        <w:rPr>
          <w:sz w:val="20"/>
          <w:szCs w:val="20"/>
          <w:color w:val="auto"/>
        </w:rPr>
      </w:pPr>
      <w:r>
        <w:rPr>
          <w:rFonts w:ascii="Arial" w:cs="Arial" w:eastAsia="Arial" w:hAnsi="Arial"/>
          <w:sz w:val="13"/>
          <w:szCs w:val="13"/>
          <w:color w:val="05314D"/>
        </w:rPr>
        <w:t>MD&amp;A | 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Write-off Ratio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20" w:type="dxa"/>
            <w:vAlign w:val="bottom"/>
            <w:gridSpan w:val="9"/>
          </w:tcPr>
          <w:p>
            <w:pPr>
              <w:jc w:val="center"/>
              <w:ind w:right="27"/>
              <w:spacing w:after="0"/>
              <w:rPr>
                <w:sz w:val="20"/>
                <w:szCs w:val="20"/>
                <w:color w:val="auto"/>
              </w:rPr>
            </w:pPr>
            <w:r>
              <w:rPr>
                <w:rFonts w:ascii="Arial" w:cs="Arial" w:eastAsia="Arial" w:hAnsi="Arial"/>
                <w:sz w:val="15"/>
                <w:szCs w:val="15"/>
                <w:b w:val="1"/>
                <w:bCs w:val="1"/>
                <w:color w:val="auto"/>
                <w:w w:val="97"/>
              </w:rPr>
              <w:t>For the Three Months Ended 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20" w:type="dxa"/>
            <w:vAlign w:val="bottom"/>
            <w:tcBorders>
              <w:bottom w:val="single" w:sz="8" w:color="216C2B"/>
            </w:tcBorders>
          </w:tcPr>
          <w:p>
            <w:pPr>
              <w:spacing w:after="0"/>
              <w:rPr>
                <w:sz w:val="2"/>
                <w:szCs w:val="2"/>
                <w:color w:val="auto"/>
              </w:rPr>
            </w:pPr>
          </w:p>
        </w:tc>
        <w:tc>
          <w:tcPr>
            <w:tcW w:w="80" w:type="dxa"/>
            <w:vAlign w:val="bottom"/>
            <w:tcBorders>
              <w:bottom w:val="single" w:sz="8" w:color="216C2B"/>
            </w:tcBorders>
          </w:tcPr>
          <w:p>
            <w:pPr>
              <w:spacing w:after="0"/>
              <w:rPr>
                <w:sz w:val="2"/>
                <w:szCs w:val="2"/>
                <w:color w:val="auto"/>
              </w:rPr>
            </w:pPr>
          </w:p>
        </w:tc>
        <w:tc>
          <w:tcPr>
            <w:tcW w:w="140" w:type="dxa"/>
            <w:vAlign w:val="bottom"/>
            <w:tcBorders>
              <w:bottom w:val="single" w:sz="8" w:color="216C2B"/>
            </w:tcBorders>
          </w:tcPr>
          <w:p>
            <w:pPr>
              <w:spacing w:after="0"/>
              <w:rPr>
                <w:sz w:val="2"/>
                <w:szCs w:val="2"/>
                <w:color w:val="auto"/>
              </w:rPr>
            </w:pPr>
          </w:p>
        </w:tc>
        <w:tc>
          <w:tcPr>
            <w:tcW w:w="960" w:type="dxa"/>
            <w:vAlign w:val="bottom"/>
            <w:tcBorders>
              <w:bottom w:val="single" w:sz="8" w:color="216C2B"/>
            </w:tcBorders>
          </w:tcPr>
          <w:p>
            <w:pPr>
              <w:spacing w:after="0"/>
              <w:rPr>
                <w:sz w:val="2"/>
                <w:szCs w:val="2"/>
                <w:color w:val="auto"/>
              </w:rPr>
            </w:pPr>
          </w:p>
        </w:tc>
        <w:tc>
          <w:tcPr>
            <w:tcW w:w="2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6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2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40" w:type="dxa"/>
            <w:vAlign w:val="bottom"/>
            <w:tcBorders>
              <w:bottom w:val="single" w:sz="8" w:color="216C2B"/>
            </w:tcBorders>
          </w:tcPr>
          <w:p>
            <w:pPr>
              <w:spacing w:after="0"/>
              <w:rPr>
                <w:sz w:val="2"/>
                <w:szCs w:val="2"/>
                <w:color w:val="auto"/>
              </w:rPr>
            </w:pPr>
          </w:p>
        </w:tc>
        <w:tc>
          <w:tcPr>
            <w:tcW w:w="9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r>
      <w:tr>
        <w:trPr>
          <w:trHeight w:val="186"/>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ind w:right="287"/>
              <w:spacing w:after="0"/>
              <w:rPr>
                <w:sz w:val="20"/>
                <w:szCs w:val="20"/>
                <w:color w:val="auto"/>
              </w:rPr>
            </w:pPr>
            <w:r>
              <w:rPr>
                <w:rFonts w:ascii="Arial" w:cs="Arial" w:eastAsia="Arial" w:hAnsi="Arial"/>
                <w:sz w:val="15"/>
                <w:szCs w:val="15"/>
                <w:b w:val="1"/>
                <w:bCs w:val="1"/>
                <w:color w:val="auto"/>
              </w:rPr>
              <w:t>2024</w:t>
            </w:r>
          </w:p>
        </w:tc>
        <w:tc>
          <w:tcPr>
            <w:tcW w:w="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10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2"/>
                <w:szCs w:val="22"/>
                <w:color w:val="auto"/>
              </w:rPr>
            </w:pPr>
          </w:p>
        </w:tc>
        <w:tc>
          <w:tcPr>
            <w:tcW w:w="960" w:type="dxa"/>
            <w:vAlign w:val="bottom"/>
            <w:tcBorders>
              <w:bottom w:val="single" w:sz="8" w:color="2C6937"/>
            </w:tcBorders>
          </w:tcPr>
          <w:p>
            <w:pPr>
              <w:jc w:val="right"/>
              <w:ind w:right="87"/>
              <w:spacing w:after="0"/>
              <w:rPr>
                <w:sz w:val="20"/>
                <w:szCs w:val="20"/>
                <w:color w:val="auto"/>
              </w:rPr>
            </w:pPr>
            <w:r>
              <w:rPr>
                <w:rFonts w:ascii="Arial" w:cs="Arial" w:eastAsia="Arial" w:hAnsi="Arial"/>
                <w:sz w:val="15"/>
                <w:szCs w:val="15"/>
                <w:b w:val="1"/>
                <w:bCs w:val="1"/>
                <w:color w:val="auto"/>
                <w:w w:val="99"/>
              </w:rPr>
              <w:t>Multifamily</w:t>
            </w:r>
          </w:p>
        </w:tc>
        <w:tc>
          <w:tcPr>
            <w:tcW w:w="2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260" w:type="dxa"/>
            <w:vAlign w:val="bottom"/>
            <w:tcBorders>
              <w:bottom w:val="single" w:sz="8" w:color="2C6937"/>
            </w:tcBorders>
          </w:tcPr>
          <w:p>
            <w:pPr>
              <w:spacing w:after="0"/>
              <w:rPr>
                <w:sz w:val="22"/>
                <w:szCs w:val="22"/>
                <w:color w:val="auto"/>
              </w:rPr>
            </w:pPr>
          </w:p>
        </w:tc>
        <w:tc>
          <w:tcPr>
            <w:tcW w:w="980" w:type="dxa"/>
            <w:vAlign w:val="bottom"/>
            <w:tcBorders>
              <w:bottom w:val="single" w:sz="8" w:color="2C6937"/>
            </w:tcBorders>
            <w:gridSpan w:val="2"/>
          </w:tcPr>
          <w:p>
            <w:pPr>
              <w:ind w:left="140"/>
              <w:spacing w:after="0"/>
              <w:rPr>
                <w:sz w:val="20"/>
                <w:szCs w:val="20"/>
                <w:color w:val="auto"/>
              </w:rPr>
            </w:pPr>
            <w:r>
              <w:rPr>
                <w:rFonts w:ascii="Arial" w:cs="Arial" w:eastAsia="Arial" w:hAnsi="Arial"/>
                <w:sz w:val="15"/>
                <w:szCs w:val="15"/>
                <w:b w:val="1"/>
                <w:bCs w:val="1"/>
                <w:color w:val="auto"/>
              </w:rPr>
              <w:t>Total</w:t>
            </w:r>
          </w:p>
        </w:tc>
        <w:tc>
          <w:tcPr>
            <w:tcW w:w="100" w:type="dxa"/>
            <w:vAlign w:val="bottom"/>
            <w:tcBorders>
              <w:bottom w:val="single" w:sz="8" w:color="2C6937"/>
            </w:tcBorders>
          </w:tcPr>
          <w:p>
            <w:pPr>
              <w:spacing w:after="0"/>
              <w:rPr>
                <w:sz w:val="22"/>
                <w:szCs w:val="22"/>
                <w:color w:val="auto"/>
              </w:rPr>
            </w:pPr>
          </w:p>
        </w:tc>
        <w:tc>
          <w:tcPr>
            <w:tcW w:w="112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2"/>
                <w:szCs w:val="22"/>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240" w:type="dxa"/>
            <w:vAlign w:val="bottom"/>
            <w:tcBorders>
              <w:bottom w:val="single" w:sz="8" w:color="2C6937"/>
            </w:tcBorders>
          </w:tcPr>
          <w:p>
            <w:pPr>
              <w:spacing w:after="0"/>
              <w:rPr>
                <w:sz w:val="22"/>
                <w:szCs w:val="22"/>
                <w:color w:val="auto"/>
              </w:rPr>
            </w:pPr>
          </w:p>
        </w:tc>
        <w:tc>
          <w:tcPr>
            <w:tcW w:w="88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Total</w:t>
            </w:r>
          </w:p>
        </w:tc>
      </w:tr>
      <w:tr>
        <w:trPr>
          <w:trHeight w:val="193"/>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5"/>
                <w:szCs w:val="15"/>
                <w:b w:val="1"/>
                <w:bCs w:val="1"/>
                <w:color w:val="auto"/>
                <w:w w:val="96"/>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2"/>
        </w:trPr>
        <w:tc>
          <w:tcPr>
            <w:tcW w:w="402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credit ratio: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2"/>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 annualized, as a percentage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3"/>
        </w:trPr>
        <w:tc>
          <w:tcPr>
            <w:tcW w:w="4020" w:type="dxa"/>
            <w:vAlign w:val="bottom"/>
            <w:gridSpan w:val="2"/>
          </w:tcPr>
          <w:p>
            <w:pPr>
              <w:ind w:left="320"/>
              <w:spacing w:after="0"/>
              <w:rPr>
                <w:sz w:val="20"/>
                <w:szCs w:val="20"/>
                <w:color w:val="auto"/>
              </w:rPr>
            </w:pPr>
            <w:r>
              <w:rPr>
                <w:rFonts w:ascii="Arial" w:cs="Arial" w:eastAsia="Arial" w:hAnsi="Arial"/>
                <w:sz w:val="15"/>
                <w:szCs w:val="15"/>
                <w:color w:val="auto"/>
              </w:rPr>
              <w:t>of the average guaranty book of business (in bps)</w:t>
            </w:r>
          </w:p>
        </w:tc>
        <w:tc>
          <w:tcPr>
            <w:tcW w:w="100" w:type="dxa"/>
            <w:vAlign w:val="bottom"/>
          </w:tcPr>
          <w:p>
            <w:pPr>
              <w:spacing w:after="0"/>
              <w:rPr>
                <w:sz w:val="18"/>
                <w:szCs w:val="18"/>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397"/>
        </w:trPr>
        <w:tc>
          <w:tcPr>
            <w:tcW w:w="402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financial information used in calculating credit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4020" w:type="dxa"/>
            <w:vAlign w:val="bottom"/>
            <w:gridSpan w:val="2"/>
          </w:tcPr>
          <w:p>
            <w:pPr>
              <w:ind w:left="180"/>
              <w:spacing w:after="0"/>
              <w:rPr>
                <w:sz w:val="20"/>
                <w:szCs w:val="20"/>
                <w:color w:val="auto"/>
              </w:rPr>
            </w:pPr>
            <w:r>
              <w:rPr>
                <w:rFonts w:ascii="Arial" w:cs="Arial" w:eastAsia="Arial" w:hAnsi="Arial"/>
                <w:sz w:val="15"/>
                <w:szCs w:val="15"/>
                <w:b w:val="1"/>
                <w:bCs w:val="1"/>
                <w:color w:val="auto"/>
              </w:rPr>
              <w:t>ratio: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7"/>
        </w:trPr>
        <w:tc>
          <w:tcPr>
            <w:tcW w:w="4020" w:type="dxa"/>
            <w:vAlign w:val="bottom"/>
            <w:gridSpan w:val="2"/>
          </w:tcPr>
          <w:p>
            <w:pPr>
              <w:ind w:left="280"/>
              <w:spacing w:after="0"/>
              <w:rPr>
                <w:sz w:val="20"/>
                <w:szCs w:val="20"/>
                <w:color w:val="auto"/>
              </w:rPr>
            </w:pPr>
            <w:r>
              <w:rPr>
                <w:rFonts w:ascii="Arial" w:cs="Arial" w:eastAsia="Arial" w:hAnsi="Arial"/>
                <w:sz w:val="15"/>
                <w:szCs w:val="15"/>
                <w:color w:val="auto"/>
              </w:rPr>
              <w:t>Write-offs</w:t>
            </w:r>
            <w:r>
              <w:rPr>
                <w:rFonts w:ascii="Arial" w:cs="Arial" w:eastAsia="Arial" w:hAnsi="Arial"/>
                <w:sz w:val="18"/>
                <w:szCs w:val="18"/>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143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38</w:t>
            </w:r>
          </w:p>
        </w:tc>
        <w:tc>
          <w:tcPr>
            <w:tcW w:w="38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181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21"/>
                <w:szCs w:val="21"/>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72</w:t>
            </w:r>
          </w:p>
        </w:tc>
      </w:tr>
      <w:tr>
        <w:trPr>
          <w:trHeight w:val="224"/>
        </w:trPr>
        <w:tc>
          <w:tcPr>
            <w:tcW w:w="39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Recoveries</w:t>
            </w:r>
          </w:p>
        </w:tc>
        <w:tc>
          <w:tcPr>
            <w:tcW w:w="12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(100)</w:t>
            </w:r>
          </w:p>
        </w:tc>
        <w:tc>
          <w:tcPr>
            <w:tcW w:w="8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w:t>
            </w: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(112)</w:t>
            </w:r>
          </w:p>
        </w:tc>
        <w:tc>
          <w:tcPr>
            <w:tcW w:w="10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w:t>
            </w:r>
          </w:p>
        </w:tc>
      </w:tr>
      <w:tr>
        <w:trPr>
          <w:trHeight w:val="225"/>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43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26</w:t>
            </w:r>
          </w:p>
        </w:tc>
        <w:tc>
          <w:tcPr>
            <w:tcW w:w="38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69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0"/>
        </w:trPr>
        <w:tc>
          <w:tcPr>
            <w:tcW w:w="39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r>
      <w:tr>
        <w:trPr>
          <w:trHeight w:val="254"/>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Average guaranty book of business</w:t>
            </w:r>
            <w:r>
              <w:rPr>
                <w:rFonts w:ascii="Arial" w:cs="Arial" w:eastAsia="Arial" w:hAnsi="Arial"/>
                <w:sz w:val="18"/>
                <w:szCs w:val="18"/>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3,624,820</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478,506</w:t>
            </w:r>
          </w:p>
        </w:tc>
        <w:tc>
          <w:tcPr>
            <w:tcW w:w="38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4,103,326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3,630,397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450,067</w:t>
            </w:r>
          </w:p>
        </w:tc>
        <w:tc>
          <w:tcPr>
            <w:tcW w:w="100" w:type="dxa"/>
            <w:vAlign w:val="bottom"/>
          </w:tcPr>
          <w:p>
            <w:pPr>
              <w:spacing w:after="0"/>
              <w:rPr>
                <w:sz w:val="22"/>
                <w:szCs w:val="22"/>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4,080,464</w:t>
            </w:r>
          </w:p>
        </w:tc>
      </w:tr>
    </w:tbl>
    <w:p>
      <w:pPr>
        <w:spacing w:after="0" w:line="224" w:lineRule="exact"/>
        <w:rPr>
          <w:sz w:val="20"/>
          <w:szCs w:val="20"/>
          <w:color w:val="auto"/>
        </w:rPr>
      </w:pPr>
    </w:p>
    <w:p>
      <w:pPr>
        <w:ind w:left="6420"/>
        <w:spacing w:after="0"/>
        <w:rPr>
          <w:sz w:val="20"/>
          <w:szCs w:val="20"/>
          <w:color w:val="auto"/>
        </w:rPr>
      </w:pPr>
      <w:r>
        <w:rPr>
          <w:rFonts w:ascii="Arial" w:cs="Arial" w:eastAsia="Arial" w:hAnsi="Arial"/>
          <w:sz w:val="15"/>
          <w:szCs w:val="15"/>
          <w:b w:val="1"/>
          <w:bCs w:val="1"/>
          <w:color w:val="auto"/>
        </w:rPr>
        <w:t>For the Six Months Ended June 30,</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Select credit ratio:</w:t>
      </w:r>
    </w:p>
    <w:p>
      <w:pPr>
        <w:spacing w:after="0" w:line="60" w:lineRule="exact"/>
        <w:rPr>
          <w:sz w:val="20"/>
          <w:szCs w:val="20"/>
          <w:color w:val="auto"/>
        </w:rPr>
      </w:pPr>
    </w:p>
    <w:p>
      <w:pPr>
        <w:ind w:left="320" w:hanging="154"/>
        <w:spacing w:after="0" w:line="315" w:lineRule="auto"/>
        <w:rPr>
          <w:sz w:val="20"/>
          <w:szCs w:val="20"/>
          <w:color w:val="auto"/>
        </w:rPr>
      </w:pPr>
      <w:r>
        <w:rPr>
          <w:rFonts w:ascii="Arial" w:cs="Arial" w:eastAsia="Arial" w:hAnsi="Arial"/>
          <w:sz w:val="14"/>
          <w:szCs w:val="14"/>
          <w:color w:val="auto"/>
        </w:rPr>
        <w:t>Write-offs, net of recoveries annualized, as a percentage of the average guaranty book of business (in bps)</w:t>
      </w:r>
    </w:p>
    <w:p>
      <w:pPr>
        <w:spacing w:after="0" w:line="209" w:lineRule="exact"/>
        <w:rPr>
          <w:sz w:val="20"/>
          <w:szCs w:val="20"/>
          <w:color w:val="auto"/>
        </w:rPr>
      </w:pPr>
    </w:p>
    <w:p>
      <w:pPr>
        <w:ind w:left="180" w:right="120" w:hanging="154"/>
        <w:spacing w:after="0" w:line="237" w:lineRule="auto"/>
        <w:rPr>
          <w:sz w:val="20"/>
          <w:szCs w:val="20"/>
          <w:color w:val="auto"/>
        </w:rPr>
      </w:pPr>
      <w:r>
        <w:rPr>
          <w:rFonts w:ascii="Arial" w:cs="Arial" w:eastAsia="Arial" w:hAnsi="Arial"/>
          <w:sz w:val="15"/>
          <w:szCs w:val="15"/>
          <w:b w:val="1"/>
          <w:bCs w:val="1"/>
          <w:color w:val="auto"/>
        </w:rPr>
        <w:t>Select financial information used in calculating credit ratio:</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220" w:type="dxa"/>
            <w:vAlign w:val="bottom"/>
            <w:tcBorders>
              <w:top w:val="single" w:sz="8" w:color="216C2B"/>
              <w:bottom w:val="single" w:sz="8" w:color="2C6937"/>
            </w:tcBorders>
          </w:tcPr>
          <w:p>
            <w:pPr>
              <w:spacing w:after="0"/>
              <w:rPr>
                <w:sz w:val="17"/>
                <w:szCs w:val="17"/>
                <w:color w:val="auto"/>
              </w:rPr>
            </w:pPr>
          </w:p>
        </w:tc>
        <w:tc>
          <w:tcPr>
            <w:tcW w:w="1320" w:type="dxa"/>
            <w:vAlign w:val="bottom"/>
            <w:tcBorders>
              <w:top w:val="single" w:sz="8" w:color="216C2B"/>
              <w:bottom w:val="single" w:sz="8" w:color="2C6937"/>
            </w:tcBorders>
          </w:tcPr>
          <w:p>
            <w:pPr>
              <w:jc w:val="right"/>
              <w:ind w:right="527"/>
              <w:spacing w:after="0"/>
              <w:rPr>
                <w:sz w:val="20"/>
                <w:szCs w:val="20"/>
                <w:color w:val="auto"/>
              </w:rPr>
            </w:pPr>
            <w:r>
              <w:rPr>
                <w:rFonts w:ascii="Arial" w:cs="Arial" w:eastAsia="Arial" w:hAnsi="Arial"/>
                <w:sz w:val="15"/>
                <w:szCs w:val="15"/>
                <w:b w:val="1"/>
                <w:bCs w:val="1"/>
                <w:color w:val="auto"/>
              </w:rPr>
              <w:t>2024</w:t>
            </w:r>
          </w:p>
        </w:tc>
        <w:tc>
          <w:tcPr>
            <w:tcW w:w="680" w:type="dxa"/>
            <w:vAlign w:val="bottom"/>
            <w:tcBorders>
              <w:top w:val="single" w:sz="8" w:color="216C2B"/>
              <w:bottom w:val="single" w:sz="8" w:color="2C6937"/>
            </w:tcBorders>
          </w:tcPr>
          <w:p>
            <w:pPr>
              <w:spacing w:after="0"/>
              <w:rPr>
                <w:sz w:val="17"/>
                <w:szCs w:val="17"/>
                <w:color w:val="auto"/>
              </w:rPr>
            </w:pPr>
          </w:p>
        </w:tc>
        <w:tc>
          <w:tcPr>
            <w:tcW w:w="340" w:type="dxa"/>
            <w:vAlign w:val="bottom"/>
            <w:tcBorders>
              <w:top w:val="single" w:sz="8" w:color="216C2B"/>
              <w:bottom w:val="single" w:sz="8" w:color="2C6937"/>
            </w:tcBorders>
          </w:tcPr>
          <w:p>
            <w:pPr>
              <w:spacing w:after="0"/>
              <w:rPr>
                <w:sz w:val="17"/>
                <w:szCs w:val="17"/>
                <w:color w:val="auto"/>
              </w:rPr>
            </w:pPr>
          </w:p>
        </w:tc>
        <w:tc>
          <w:tcPr>
            <w:tcW w:w="100" w:type="dxa"/>
            <w:vAlign w:val="bottom"/>
            <w:tcBorders>
              <w:top w:val="single" w:sz="8" w:color="216C2B"/>
            </w:tcBorders>
          </w:tcPr>
          <w:p>
            <w:pPr>
              <w:spacing w:after="0"/>
              <w:rPr>
                <w:sz w:val="17"/>
                <w:szCs w:val="17"/>
                <w:color w:val="auto"/>
              </w:rPr>
            </w:pPr>
          </w:p>
        </w:tc>
        <w:tc>
          <w:tcPr>
            <w:tcW w:w="1020" w:type="dxa"/>
            <w:vAlign w:val="bottom"/>
            <w:tcBorders>
              <w:top w:val="single" w:sz="8" w:color="216C2B"/>
              <w:bottom w:val="single" w:sz="8" w:color="2C6937"/>
            </w:tcBorders>
          </w:tcPr>
          <w:p>
            <w:pPr>
              <w:spacing w:after="0"/>
              <w:rPr>
                <w:sz w:val="17"/>
                <w:szCs w:val="17"/>
                <w:color w:val="auto"/>
              </w:rPr>
            </w:pPr>
          </w:p>
        </w:tc>
        <w:tc>
          <w:tcPr>
            <w:tcW w:w="220" w:type="dxa"/>
            <w:vAlign w:val="bottom"/>
            <w:tcBorders>
              <w:top w:val="single" w:sz="8" w:color="216C2B"/>
              <w:bottom w:val="single" w:sz="8" w:color="2C6937"/>
            </w:tcBorders>
          </w:tcPr>
          <w:p>
            <w:pPr>
              <w:spacing w:after="0"/>
              <w:rPr>
                <w:sz w:val="17"/>
                <w:szCs w:val="17"/>
                <w:color w:val="auto"/>
              </w:rPr>
            </w:pPr>
          </w:p>
        </w:tc>
        <w:tc>
          <w:tcPr>
            <w:tcW w:w="1320" w:type="dxa"/>
            <w:vAlign w:val="bottom"/>
            <w:tcBorders>
              <w:top w:val="single" w:sz="8" w:color="216C2B"/>
              <w:bottom w:val="single" w:sz="8" w:color="2C6937"/>
            </w:tcBorders>
          </w:tcPr>
          <w:p>
            <w:pPr>
              <w:jc w:val="right"/>
              <w:ind w:right="547"/>
              <w:spacing w:after="0"/>
              <w:rPr>
                <w:sz w:val="20"/>
                <w:szCs w:val="20"/>
                <w:color w:val="auto"/>
              </w:rPr>
            </w:pPr>
            <w:r>
              <w:rPr>
                <w:rFonts w:ascii="Arial" w:cs="Arial" w:eastAsia="Arial" w:hAnsi="Arial"/>
                <w:sz w:val="15"/>
                <w:szCs w:val="15"/>
                <w:b w:val="1"/>
                <w:bCs w:val="1"/>
                <w:color w:val="auto"/>
              </w:rPr>
              <w:t>2023</w:t>
            </w:r>
          </w:p>
        </w:tc>
        <w:tc>
          <w:tcPr>
            <w:tcW w:w="1000" w:type="dxa"/>
            <w:vAlign w:val="bottom"/>
            <w:tcBorders>
              <w:top w:val="single" w:sz="8" w:color="216C2B"/>
              <w:bottom w:val="single" w:sz="8" w:color="2C6937"/>
            </w:tcBorders>
          </w:tcPr>
          <w:p>
            <w:pPr>
              <w:spacing w:after="0"/>
              <w:rPr>
                <w:sz w:val="17"/>
                <w:szCs w:val="17"/>
                <w:color w:val="auto"/>
              </w:rPr>
            </w:pPr>
          </w:p>
        </w:tc>
      </w:tr>
      <w:tr>
        <w:trPr>
          <w:trHeight w:val="264"/>
        </w:trPr>
        <w:tc>
          <w:tcPr>
            <w:tcW w:w="1220" w:type="dxa"/>
            <w:vAlign w:val="bottom"/>
            <w:tcBorders>
              <w:bottom w:val="single" w:sz="8" w:color="2C6937"/>
            </w:tcBorders>
          </w:tcPr>
          <w:p>
            <w:pPr>
              <w:jc w:val="right"/>
              <w:ind w:right="147"/>
              <w:spacing w:after="0"/>
              <w:rPr>
                <w:sz w:val="20"/>
                <w:szCs w:val="20"/>
                <w:color w:val="auto"/>
              </w:rPr>
            </w:pPr>
            <w:r>
              <w:rPr>
                <w:rFonts w:ascii="Arial" w:cs="Arial" w:eastAsia="Arial" w:hAnsi="Arial"/>
                <w:sz w:val="15"/>
                <w:szCs w:val="15"/>
                <w:b w:val="1"/>
                <w:bCs w:val="1"/>
                <w:color w:val="auto"/>
              </w:rPr>
              <w:t>Single-family</w:t>
            </w:r>
          </w:p>
        </w:tc>
        <w:tc>
          <w:tcPr>
            <w:tcW w:w="1320" w:type="dxa"/>
            <w:vAlign w:val="bottom"/>
            <w:tcBorders>
              <w:bottom w:val="single" w:sz="8" w:color="2C6937"/>
            </w:tcBorders>
          </w:tcPr>
          <w:p>
            <w:pPr>
              <w:jc w:val="center"/>
              <w:ind w:right="167"/>
              <w:spacing w:after="0"/>
              <w:rPr>
                <w:sz w:val="20"/>
                <w:szCs w:val="20"/>
                <w:color w:val="auto"/>
              </w:rPr>
            </w:pPr>
            <w:r>
              <w:rPr>
                <w:rFonts w:ascii="Arial" w:cs="Arial" w:eastAsia="Arial" w:hAnsi="Arial"/>
                <w:sz w:val="15"/>
                <w:szCs w:val="15"/>
                <w:b w:val="1"/>
                <w:bCs w:val="1"/>
                <w:color w:val="auto"/>
                <w:w w:val="96"/>
              </w:rPr>
              <w:t>Multifamily</w:t>
            </w:r>
          </w:p>
        </w:tc>
        <w:tc>
          <w:tcPr>
            <w:tcW w:w="680" w:type="dxa"/>
            <w:vAlign w:val="bottom"/>
            <w:tcBorders>
              <w:bottom w:val="single" w:sz="8" w:color="2C6937"/>
            </w:tcBorders>
          </w:tcPr>
          <w:p>
            <w:pPr>
              <w:ind w:left="280"/>
              <w:spacing w:after="0"/>
              <w:rPr>
                <w:sz w:val="20"/>
                <w:szCs w:val="20"/>
                <w:color w:val="auto"/>
              </w:rPr>
            </w:pPr>
            <w:r>
              <w:rPr>
                <w:rFonts w:ascii="Arial" w:cs="Arial" w:eastAsia="Arial" w:hAnsi="Arial"/>
                <w:sz w:val="15"/>
                <w:szCs w:val="15"/>
                <w:b w:val="1"/>
                <w:bCs w:val="1"/>
                <w:color w:val="auto"/>
              </w:rPr>
              <w:t>Total</w:t>
            </w:r>
          </w:p>
        </w:tc>
        <w:tc>
          <w:tcPr>
            <w:tcW w:w="34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020" w:type="dxa"/>
            <w:vAlign w:val="bottom"/>
            <w:tcBorders>
              <w:bottom w:val="single" w:sz="8" w:color="2C6937"/>
            </w:tcBorders>
          </w:tcPr>
          <w:p>
            <w:pPr>
              <w:ind w:left="100"/>
              <w:spacing w:after="0"/>
              <w:rPr>
                <w:sz w:val="20"/>
                <w:szCs w:val="20"/>
                <w:color w:val="auto"/>
              </w:rPr>
            </w:pPr>
            <w:r>
              <w:rPr>
                <w:rFonts w:ascii="Arial" w:cs="Arial" w:eastAsia="Arial" w:hAnsi="Arial"/>
                <w:sz w:val="15"/>
                <w:szCs w:val="15"/>
                <w:b w:val="1"/>
                <w:bCs w:val="1"/>
                <w:color w:val="auto"/>
                <w:w w:val="96"/>
              </w:rPr>
              <w:t>Single-family</w:t>
            </w:r>
          </w:p>
        </w:tc>
        <w:tc>
          <w:tcPr>
            <w:tcW w:w="220" w:type="dxa"/>
            <w:vAlign w:val="bottom"/>
            <w:tcBorders>
              <w:bottom w:val="single" w:sz="8" w:color="2C6937"/>
            </w:tcBorders>
          </w:tcPr>
          <w:p>
            <w:pPr>
              <w:spacing w:after="0"/>
              <w:rPr>
                <w:sz w:val="22"/>
                <w:szCs w:val="22"/>
                <w:color w:val="auto"/>
              </w:rPr>
            </w:pPr>
          </w:p>
        </w:tc>
        <w:tc>
          <w:tcPr>
            <w:tcW w:w="1320" w:type="dxa"/>
            <w:vAlign w:val="bottom"/>
            <w:tcBorders>
              <w:bottom w:val="single" w:sz="8" w:color="2C6937"/>
            </w:tcBorders>
          </w:tcPr>
          <w:p>
            <w:pPr>
              <w:jc w:val="center"/>
              <w:ind w:right="167"/>
              <w:spacing w:after="0"/>
              <w:rPr>
                <w:sz w:val="20"/>
                <w:szCs w:val="20"/>
                <w:color w:val="auto"/>
              </w:rPr>
            </w:pPr>
            <w:r>
              <w:rPr>
                <w:rFonts w:ascii="Arial" w:cs="Arial" w:eastAsia="Arial" w:hAnsi="Arial"/>
                <w:sz w:val="15"/>
                <w:szCs w:val="15"/>
                <w:b w:val="1"/>
                <w:bCs w:val="1"/>
                <w:color w:val="auto"/>
                <w:w w:val="96"/>
              </w:rPr>
              <w:t>Multifamily</w:t>
            </w:r>
          </w:p>
        </w:tc>
        <w:tc>
          <w:tcPr>
            <w:tcW w:w="100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Total</w:t>
            </w:r>
          </w:p>
        </w:tc>
      </w:tr>
      <w:tr>
        <w:trPr>
          <w:trHeight w:val="193"/>
        </w:trPr>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40" w:type="dxa"/>
            <w:vAlign w:val="bottom"/>
            <w:gridSpan w:val="4"/>
          </w:tcPr>
          <w:p>
            <w:pPr>
              <w:ind w:left="400"/>
              <w:spacing w:after="0"/>
              <w:rPr>
                <w:sz w:val="20"/>
                <w:szCs w:val="20"/>
                <w:color w:val="auto"/>
              </w:rPr>
            </w:pPr>
            <w:r>
              <w:rPr>
                <w:rFonts w:ascii="Arial" w:cs="Arial" w:eastAsia="Arial" w:hAnsi="Arial"/>
                <w:sz w:val="15"/>
                <w:szCs w:val="15"/>
                <w:b w:val="1"/>
                <w:bCs w:val="1"/>
                <w:color w:val="auto"/>
              </w:rPr>
              <w:t>(Dollars in millions)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27"/>
        </w:trPr>
        <w:tc>
          <w:tcPr>
            <w:tcW w:w="1220" w:type="dxa"/>
            <w:vAlign w:val="bottom"/>
          </w:tcPr>
          <w:p>
            <w:pPr>
              <w:jc w:val="right"/>
              <w:ind w:right="107"/>
              <w:spacing w:after="0"/>
              <w:rPr>
                <w:sz w:val="20"/>
                <w:szCs w:val="20"/>
                <w:color w:val="auto"/>
              </w:rPr>
            </w:pPr>
            <w:r>
              <w:rPr>
                <w:rFonts w:ascii="Arial" w:cs="Arial" w:eastAsia="Arial" w:hAnsi="Arial"/>
                <w:sz w:val="15"/>
                <w:szCs w:val="15"/>
                <w:b w:val="1"/>
                <w:bCs w:val="1"/>
                <w:color w:val="auto"/>
              </w:rPr>
              <w:t>0.6</w:t>
            </w:r>
          </w:p>
        </w:tc>
        <w:tc>
          <w:tcPr>
            <w:tcW w:w="1320" w:type="dxa"/>
            <w:vAlign w:val="bottom"/>
          </w:tcPr>
          <w:p>
            <w:pPr>
              <w:jc w:val="right"/>
              <w:ind w:right="207"/>
              <w:spacing w:after="0"/>
              <w:rPr>
                <w:sz w:val="20"/>
                <w:szCs w:val="20"/>
                <w:color w:val="auto"/>
              </w:rPr>
            </w:pPr>
            <w:r>
              <w:rPr>
                <w:rFonts w:ascii="Arial" w:cs="Arial" w:eastAsia="Arial" w:hAnsi="Arial"/>
                <w:sz w:val="15"/>
                <w:szCs w:val="15"/>
                <w:b w:val="1"/>
                <w:bCs w:val="1"/>
                <w:color w:val="auto"/>
              </w:rPr>
              <w:t>5.8</w:t>
            </w:r>
          </w:p>
        </w:tc>
        <w:tc>
          <w:tcPr>
            <w:tcW w:w="680" w:type="dxa"/>
            <w:vAlign w:val="bottom"/>
          </w:tcPr>
          <w:p>
            <w:pPr>
              <w:spacing w:after="0"/>
              <w:rPr>
                <w:sz w:val="24"/>
                <w:szCs w:val="24"/>
                <w:color w:val="auto"/>
              </w:rPr>
            </w:pPr>
          </w:p>
        </w:tc>
        <w:tc>
          <w:tcPr>
            <w:tcW w:w="340" w:type="dxa"/>
            <w:vAlign w:val="bottom"/>
          </w:tcPr>
          <w:p>
            <w:pPr>
              <w:jc w:val="right"/>
              <w:ind w:right="7"/>
              <w:spacing w:after="0"/>
              <w:rPr>
                <w:sz w:val="20"/>
                <w:szCs w:val="20"/>
                <w:color w:val="auto"/>
              </w:rPr>
            </w:pPr>
            <w:r>
              <w:rPr>
                <w:rFonts w:ascii="Arial" w:cs="Arial" w:eastAsia="Arial" w:hAnsi="Arial"/>
                <w:sz w:val="15"/>
                <w:szCs w:val="15"/>
                <w:b w:val="1"/>
                <w:bCs w:val="1"/>
                <w:color w:val="auto"/>
              </w:rPr>
              <w:t>1.2</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207"/>
              <w:spacing w:after="0"/>
              <w:rPr>
                <w:sz w:val="20"/>
                <w:szCs w:val="20"/>
                <w:color w:val="auto"/>
              </w:rPr>
            </w:pPr>
            <w:r>
              <w:rPr>
                <w:rFonts w:ascii="Arial" w:cs="Arial" w:eastAsia="Arial" w:hAnsi="Arial"/>
                <w:sz w:val="15"/>
                <w:szCs w:val="15"/>
                <w:color w:val="auto"/>
              </w:rPr>
              <w:t>10.9</w:t>
            </w:r>
          </w:p>
        </w:tc>
        <w:tc>
          <w:tcPr>
            <w:tcW w:w="1000" w:type="dxa"/>
            <w:vAlign w:val="bottom"/>
          </w:tcPr>
          <w:p>
            <w:pPr>
              <w:jc w:val="right"/>
              <w:spacing w:after="0"/>
              <w:rPr>
                <w:sz w:val="20"/>
                <w:szCs w:val="20"/>
                <w:color w:val="auto"/>
              </w:rPr>
            </w:pPr>
            <w:r>
              <w:rPr>
                <w:rFonts w:ascii="Arial" w:cs="Arial" w:eastAsia="Arial" w:hAnsi="Arial"/>
                <w:sz w:val="15"/>
                <w:szCs w:val="15"/>
                <w:color w:val="auto"/>
              </w:rPr>
              <w:t>1.2</w:t>
            </w:r>
          </w:p>
        </w:tc>
      </w:tr>
    </w:tbl>
    <w:p>
      <w:pPr>
        <w:spacing w:after="0" w:line="598" w:lineRule="exact"/>
        <w:rPr>
          <w:sz w:val="20"/>
          <w:szCs w:val="20"/>
          <w:color w:val="auto"/>
        </w:rPr>
      </w:pPr>
    </w:p>
    <w:p>
      <w:pPr>
        <w:sectPr>
          <w:pgSz w:w="11900" w:h="16838" w:orient="portrait"/>
          <w:cols w:equalWidth="0" w:num="2">
            <w:col w:w="3840" w:space="180"/>
            <w:col w:w="7220"/>
          </w:cols>
          <w:pgMar w:left="320" w:top="248"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4020" w:type="dxa"/>
            <w:vAlign w:val="bottom"/>
            <w:gridSpan w:val="2"/>
          </w:tcPr>
          <w:p>
            <w:pPr>
              <w:ind w:left="280"/>
              <w:spacing w:after="0"/>
              <w:rPr>
                <w:sz w:val="20"/>
                <w:szCs w:val="20"/>
                <w:color w:val="auto"/>
              </w:rPr>
            </w:pPr>
            <w:r>
              <w:rPr>
                <w:rFonts w:ascii="Arial" w:cs="Arial" w:eastAsia="Arial" w:hAnsi="Arial"/>
                <w:sz w:val="15"/>
                <w:szCs w:val="15"/>
                <w:color w:val="auto"/>
              </w:rPr>
              <w:t>Write-offs</w:t>
            </w:r>
            <w:r>
              <w:rPr>
                <w:rFonts w:ascii="Arial" w:cs="Arial" w:eastAsia="Arial" w:hAnsi="Arial"/>
                <w:sz w:val="18"/>
                <w:szCs w:val="18"/>
                <w:color w:val="auto"/>
                <w:vertAlign w:val="superscript"/>
              </w:rPr>
              <w:t>(1)</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260</w:t>
            </w:r>
          </w:p>
        </w:tc>
        <w:tc>
          <w:tcPr>
            <w:tcW w:w="80" w:type="dxa"/>
            <w:vAlign w:val="bottom"/>
          </w:tcPr>
          <w:p>
            <w:pPr>
              <w:spacing w:after="0"/>
              <w:rPr>
                <w:sz w:val="20"/>
                <w:szCs w:val="20"/>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171</w:t>
            </w:r>
          </w:p>
        </w:tc>
        <w:tc>
          <w:tcPr>
            <w:tcW w:w="10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431</w:t>
            </w:r>
          </w:p>
        </w:tc>
        <w:tc>
          <w:tcPr>
            <w:tcW w:w="10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99</w:t>
            </w:r>
          </w:p>
        </w:tc>
        <w:tc>
          <w:tcPr>
            <w:tcW w:w="100" w:type="dxa"/>
            <w:vAlign w:val="bottom"/>
          </w:tcPr>
          <w:p>
            <w:pPr>
              <w:spacing w:after="0"/>
              <w:rPr>
                <w:sz w:val="20"/>
                <w:szCs w:val="20"/>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254</w:t>
            </w:r>
          </w:p>
        </w:tc>
        <w:tc>
          <w:tcPr>
            <w:tcW w:w="10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353</w:t>
            </w:r>
          </w:p>
        </w:tc>
      </w:tr>
      <w:tr>
        <w:trPr>
          <w:trHeight w:val="224"/>
        </w:trPr>
        <w:tc>
          <w:tcPr>
            <w:tcW w:w="39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Recoveries</w:t>
            </w:r>
          </w:p>
        </w:tc>
        <w:tc>
          <w:tcPr>
            <w:tcW w:w="12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(159)</w:t>
            </w:r>
          </w:p>
        </w:tc>
        <w:tc>
          <w:tcPr>
            <w:tcW w:w="8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(192)</w:t>
            </w: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(117)</w:t>
            </w:r>
          </w:p>
        </w:tc>
      </w:tr>
      <w:tr>
        <w:trPr>
          <w:trHeight w:val="225"/>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101</w:t>
            </w:r>
          </w:p>
        </w:tc>
        <w:tc>
          <w:tcPr>
            <w:tcW w:w="80" w:type="dxa"/>
            <w:vAlign w:val="bottom"/>
          </w:tcPr>
          <w:p>
            <w:pPr>
              <w:spacing w:after="0"/>
              <w:rPr>
                <w:sz w:val="19"/>
                <w:szCs w:val="19"/>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138</w:t>
            </w:r>
          </w:p>
        </w:tc>
        <w:tc>
          <w:tcPr>
            <w:tcW w:w="10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239</w:t>
            </w:r>
          </w:p>
        </w:tc>
        <w:tc>
          <w:tcPr>
            <w:tcW w:w="1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9"/>
                <w:szCs w:val="19"/>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244</w:t>
            </w:r>
          </w:p>
        </w:tc>
        <w:tc>
          <w:tcPr>
            <w:tcW w:w="10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236</w:t>
            </w:r>
          </w:p>
        </w:tc>
      </w:tr>
      <w:tr>
        <w:trPr>
          <w:trHeight w:val="20"/>
        </w:trPr>
        <w:tc>
          <w:tcPr>
            <w:tcW w:w="39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r>
      <w:tr>
        <w:trPr>
          <w:trHeight w:val="254"/>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Average guaranty book of business</w:t>
            </w:r>
            <w:r>
              <w:rPr>
                <w:rFonts w:ascii="Arial" w:cs="Arial" w:eastAsia="Arial" w:hAnsi="Arial"/>
                <w:sz w:val="18"/>
                <w:szCs w:val="18"/>
                <w:color w:val="auto"/>
                <w:vertAlign w:val="superscript"/>
              </w:rPr>
              <w:t>(2)</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3,628,792</w:t>
            </w:r>
          </w:p>
        </w:tc>
        <w:tc>
          <w:tcPr>
            <w:tcW w:w="80" w:type="dxa"/>
            <w:vAlign w:val="bottom"/>
          </w:tcPr>
          <w:p>
            <w:pPr>
              <w:spacing w:after="0"/>
              <w:rPr>
                <w:sz w:val="22"/>
                <w:szCs w:val="22"/>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475,803</w:t>
            </w:r>
          </w:p>
        </w:tc>
        <w:tc>
          <w:tcPr>
            <w:tcW w:w="100" w:type="dxa"/>
            <w:vAlign w:val="bottom"/>
          </w:tcPr>
          <w:p>
            <w:pPr>
              <w:spacing w:after="0"/>
              <w:rPr>
                <w:sz w:val="22"/>
                <w:szCs w:val="22"/>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4,104,595</w:t>
            </w:r>
          </w:p>
        </w:tc>
        <w:tc>
          <w:tcPr>
            <w:tcW w:w="100" w:type="dxa"/>
            <w:vAlign w:val="bottom"/>
          </w:tcPr>
          <w:p>
            <w:pPr>
              <w:spacing w:after="0"/>
              <w:rPr>
                <w:sz w:val="22"/>
                <w:szCs w:val="22"/>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3,632,010</w:t>
            </w:r>
          </w:p>
        </w:tc>
        <w:tc>
          <w:tcPr>
            <w:tcW w:w="100" w:type="dxa"/>
            <w:vAlign w:val="bottom"/>
          </w:tcPr>
          <w:p>
            <w:pPr>
              <w:spacing w:after="0"/>
              <w:rPr>
                <w:sz w:val="22"/>
                <w:szCs w:val="22"/>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446,853</w:t>
            </w:r>
          </w:p>
        </w:tc>
        <w:tc>
          <w:tcPr>
            <w:tcW w:w="100" w:type="dxa"/>
            <w:vAlign w:val="bottom"/>
          </w:tcPr>
          <w:p>
            <w:pPr>
              <w:spacing w:after="0"/>
              <w:rPr>
                <w:sz w:val="22"/>
                <w:szCs w:val="22"/>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4,078,863</w:t>
            </w:r>
          </w:p>
        </w:tc>
      </w:tr>
    </w:tbl>
    <w:p>
      <w:pPr>
        <w:spacing w:after="0" w:line="92" w:lineRule="exact"/>
        <w:rPr>
          <w:sz w:val="20"/>
          <w:szCs w:val="20"/>
          <w:color w:val="auto"/>
        </w:rPr>
      </w:pPr>
    </w:p>
    <w:p>
      <w:pPr>
        <w:ind w:left="200" w:hanging="197"/>
        <w:spacing w:after="0"/>
        <w:tabs>
          <w:tab w:leader="none" w:pos="2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credit ratio of less than 0.05 bps.</w:t>
      </w:r>
    </w:p>
    <w:p>
      <w:pPr>
        <w:spacing w:after="0" w:line="19" w:lineRule="exact"/>
        <w:rPr>
          <w:sz w:val="20"/>
          <w:szCs w:val="20"/>
          <w:color w:val="auto"/>
        </w:rPr>
      </w:pPr>
    </w:p>
    <w:p>
      <w:pPr>
        <w:ind w:left="220" w:hanging="217"/>
        <w:spacing w:after="0"/>
        <w:tabs>
          <w:tab w:leader="none" w:pos="22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Represents write-offs when a loan is determined to be uncollectible. For single-family, also includes any write-offs upon the redesignation of mortgage loans from HFI to HFS.</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9"/>
        </w:numPr>
        <w:rPr>
          <w:rFonts w:ascii="Arial" w:cs="Arial" w:eastAsia="Arial" w:hAnsi="Arial"/>
          <w:sz w:val="9"/>
          <w:szCs w:val="9"/>
          <w:color w:val="auto"/>
        </w:rPr>
      </w:pPr>
      <w:r>
        <w:rPr>
          <w:rFonts w:ascii="Arial" w:cs="Arial" w:eastAsia="Arial" w:hAnsi="Arial"/>
          <w:sz w:val="14"/>
          <w:szCs w:val="14"/>
          <w:color w:val="auto"/>
        </w:rPr>
        <w:t>Average guaranty book of business is based on quarter-end balances.</w:t>
      </w:r>
    </w:p>
    <w:p>
      <w:pPr>
        <w:spacing w:after="0" w:line="155"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Liquidity Management</w:t>
      </w:r>
    </w:p>
    <w:p>
      <w:pPr>
        <w:spacing w:after="0" w:line="63"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This section supplements and updates information regarding liquidity management in our 2023 Form 10-K. See “MD&amp;A—Liquidity and Capital Management —Liquidity Management” in our 2023 Form 10-K for additional information, including discussions of our primary sources and uses of funds, our liquidity and funding risk management practices and contingency planning, our liquidity requirements, factors that influence our debt funding activity, factors that may impact our access to or the cost of our debt funding and factors that could adversely affect our liquidity and funding. As of June 30, 2024, we were in compliance with all four components of the liquidity requirements outlined in our 2023 Form 10-K. Also see “Risk Factors—Liquidity and Funding Risk” in our 2023 Form 10-K for a discussion of liquidity and funding risks.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48" w:name="page49"/>
    <w:bookmarkEnd w:id="48"/>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Debt Funding</w:t>
      </w:r>
    </w:p>
    <w:p>
      <w:pPr>
        <w:spacing w:after="0" w:line="10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unpaid principal balance of our aggregate indebtedness was $122.8 billion as of June 30, 2024. Pursuant to the terms of the senior preferred stock purchase agreement with Treasury, we are prohibited from issuing debt without the prior consent of Treasury if it would result in our aggregate indebtedness exceeding our outstanding debt limit, currently set to $270 billion. The calculation of our indebtedness for purposes of complying with our debt limit reflects the unpaid principal balance and excludes debt basis adjustments and debt of consolidated trusts.</w:t>
      </w:r>
    </w:p>
    <w:p>
      <w:pPr>
        <w:spacing w:after="0" w:line="75"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Outstanding Debt</w:t>
      </w:r>
    </w:p>
    <w:p>
      <w:pPr>
        <w:spacing w:after="0" w:line="80"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Total outstanding debt of Fannie Mae includes short-term and long-term debt and excludes debt of consolidated trusts. Short-term debt of Fannie Mae consists of borrowings with an original contractual maturity of one year or less and, therefore, does not include the current portion of long-term debt. Long-term debt of Fannie Mae consists of borrowings with an original contractual maturity of greater than one year.</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and table display information on our outstanding short-term and long-term debt based on original contractual maturity.</w:t>
      </w:r>
    </w:p>
    <w:p>
      <w:pPr>
        <w:spacing w:after="0" w:line="75" w:lineRule="exact"/>
        <w:rPr>
          <w:sz w:val="20"/>
          <w:szCs w:val="20"/>
          <w:color w:val="auto"/>
        </w:rPr>
      </w:pPr>
    </w:p>
    <w:p>
      <w:pPr>
        <w:ind w:left="4600"/>
        <w:spacing w:after="0"/>
        <w:rPr>
          <w:sz w:val="20"/>
          <w:szCs w:val="20"/>
          <w:color w:val="auto"/>
        </w:rPr>
      </w:pPr>
      <w:r>
        <w:rPr>
          <w:rFonts w:ascii="Georgia" w:cs="Georgia" w:eastAsia="Georgia" w:hAnsi="Georgia"/>
          <w:sz w:val="19"/>
          <w:szCs w:val="19"/>
          <w:b w:val="1"/>
          <w:bCs w:val="1"/>
          <w:color w:val="05314D"/>
        </w:rPr>
        <w:t>Debt of Fannie Mae</w:t>
      </w:r>
      <w:r>
        <w:rPr>
          <w:rFonts w:ascii="Georgia" w:cs="Georgia" w:eastAsia="Georgia" w:hAnsi="Georgia"/>
          <w:sz w:val="24"/>
          <w:szCs w:val="24"/>
          <w:b w:val="1"/>
          <w:bCs w:val="1"/>
          <w:color w:val="05314D"/>
          <w:vertAlign w:val="superscript"/>
        </w:rPr>
        <w:t>(1</w:t>
      </w:r>
      <w:r>
        <w:rPr>
          <w:rFonts w:ascii="Georgia" w:cs="Georgia" w:eastAsia="Georgia" w:hAnsi="Georgia"/>
          <w:sz w:val="24"/>
          <w:szCs w:val="24"/>
          <w:b w:val="1"/>
          <w:bCs w:val="1"/>
          <w:color w:val="000000"/>
          <w:vertAlign w:val="superscript"/>
        </w:rPr>
        <w:t>)</w:t>
      </w:r>
    </w:p>
    <w:p>
      <w:pPr>
        <w:ind w:left="4660"/>
        <w:spacing w:after="0" w:line="237" w:lineRule="auto"/>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15875</wp:posOffset>
            </wp:positionV>
            <wp:extent cx="4886960" cy="21939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886960" cy="219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40" w:right="620" w:hanging="237"/>
        <w:spacing w:after="0" w:line="228" w:lineRule="auto"/>
        <w:tabs>
          <w:tab w:leader="none" w:pos="233"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Outstanding debt balance consists of the unpaid principal balance, premiums and discounts, fair value adjustments, hedge-related basis adjustments and other cost basis adjustments. Reported amounts include net discount unamortized cost basis adjustments and fair value adjustments of $4.2 billion and $4.0 billion as of June 30, 2024 and December 31, 2023, respectively.</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Selected Debt Information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00" w:type="dxa"/>
            <w:vAlign w:val="bottom"/>
            <w:tcBorders>
              <w:top w:val="single" w:sz="8" w:color="2C6937"/>
            </w:tcBorders>
          </w:tcPr>
          <w:p>
            <w:pPr>
              <w:spacing w:after="0"/>
              <w:rPr>
                <w:sz w:val="18"/>
                <w:szCs w:val="18"/>
                <w:color w:val="auto"/>
              </w:rPr>
            </w:pPr>
          </w:p>
        </w:tc>
        <w:tc>
          <w:tcPr>
            <w:tcW w:w="200" w:type="dxa"/>
            <w:vAlign w:val="bottom"/>
            <w:tcBorders>
              <w:top w:val="single" w:sz="8" w:color="2C6937"/>
            </w:tcBorders>
          </w:tcPr>
          <w:p>
            <w:pPr>
              <w:spacing w:after="0"/>
              <w:rPr>
                <w:sz w:val="18"/>
                <w:szCs w:val="18"/>
                <w:color w:val="auto"/>
              </w:rPr>
            </w:pPr>
          </w:p>
        </w:tc>
        <w:tc>
          <w:tcPr>
            <w:tcW w:w="1400" w:type="dxa"/>
            <w:vAlign w:val="bottom"/>
            <w:tcBorders>
              <w:top w:val="single" w:sz="8" w:color="2C6937"/>
              <w:bottom w:val="single" w:sz="8" w:color="2C6937"/>
            </w:tcBorders>
          </w:tcPr>
          <w:p>
            <w:pPr>
              <w:spacing w:after="0"/>
              <w:rPr>
                <w:sz w:val="18"/>
                <w:szCs w:val="18"/>
                <w:color w:val="auto"/>
              </w:rPr>
            </w:pPr>
          </w:p>
        </w:tc>
        <w:tc>
          <w:tcPr>
            <w:tcW w:w="340" w:type="dxa"/>
            <w:vAlign w:val="bottom"/>
            <w:tcBorders>
              <w:top w:val="single" w:sz="8" w:color="2C6937"/>
              <w:bottom w:val="single" w:sz="8" w:color="2C6937"/>
            </w:tcBorders>
          </w:tcPr>
          <w:p>
            <w:pPr>
              <w:spacing w:after="0"/>
              <w:rPr>
                <w:sz w:val="18"/>
                <w:szCs w:val="18"/>
                <w:color w:val="auto"/>
              </w:rPr>
            </w:pPr>
          </w:p>
        </w:tc>
        <w:tc>
          <w:tcPr>
            <w:tcW w:w="460" w:type="dxa"/>
            <w:vAlign w:val="bottom"/>
            <w:tcBorders>
              <w:top w:val="single" w:sz="8" w:color="2C6937"/>
              <w:bottom w:val="single" w:sz="8" w:color="2C6937"/>
            </w:tcBorders>
          </w:tcPr>
          <w:p>
            <w:pPr>
              <w:jc w:val="right"/>
              <w:ind w:right="27"/>
              <w:spacing w:after="0"/>
              <w:rPr>
                <w:sz w:val="20"/>
                <w:szCs w:val="20"/>
                <w:color w:val="auto"/>
              </w:rPr>
            </w:pPr>
            <w:r>
              <w:rPr>
                <w:rFonts w:ascii="Arial" w:cs="Arial" w:eastAsia="Arial" w:hAnsi="Arial"/>
                <w:sz w:val="14"/>
                <w:szCs w:val="14"/>
                <w:b w:val="1"/>
                <w:bCs w:val="1"/>
                <w:color w:val="auto"/>
                <w:w w:val="97"/>
              </w:rPr>
              <w:t>As of</w:t>
            </w:r>
          </w:p>
        </w:tc>
        <w:tc>
          <w:tcPr>
            <w:tcW w:w="1640" w:type="dxa"/>
            <w:vAlign w:val="bottom"/>
            <w:tcBorders>
              <w:top w:val="single" w:sz="8" w:color="2C6937"/>
              <w:bottom w:val="single" w:sz="8" w:color="2C6937"/>
            </w:tcBorders>
          </w:tcPr>
          <w:p>
            <w:pPr>
              <w:spacing w:after="0"/>
              <w:rPr>
                <w:sz w:val="18"/>
                <w:szCs w:val="18"/>
                <w:color w:val="auto"/>
              </w:rPr>
            </w:pPr>
          </w:p>
        </w:tc>
      </w:tr>
      <w:tr>
        <w:trPr>
          <w:trHeight w:val="186"/>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June 30, 2024</w:t>
            </w:r>
          </w:p>
        </w:tc>
        <w:tc>
          <w:tcPr>
            <w:tcW w:w="34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164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December 31, 2023</w:t>
            </w:r>
          </w:p>
        </w:tc>
      </w:tr>
      <w:tr>
        <w:trPr>
          <w:trHeight w:val="185"/>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40" w:type="dxa"/>
            <w:vAlign w:val="bottom"/>
            <w:gridSpan w:val="4"/>
          </w:tcPr>
          <w:p>
            <w:pPr>
              <w:jc w:val="right"/>
              <w:ind w:right="1224"/>
              <w:spacing w:after="0"/>
              <w:rPr>
                <w:sz w:val="20"/>
                <w:szCs w:val="20"/>
                <w:color w:val="auto"/>
              </w:rPr>
            </w:pPr>
            <w:r>
              <w:rPr>
                <w:rFonts w:ascii="Arial" w:cs="Arial" w:eastAsia="Arial" w:hAnsi="Arial"/>
                <w:sz w:val="14"/>
                <w:szCs w:val="14"/>
                <w:b w:val="1"/>
                <w:bCs w:val="1"/>
                <w:color w:val="auto"/>
              </w:rPr>
              <w:t>(Dollars in billions)</w:t>
            </w:r>
          </w:p>
        </w:tc>
      </w:tr>
      <w:tr>
        <w:trPr>
          <w:trHeight w:val="208"/>
        </w:trPr>
        <w:tc>
          <w:tcPr>
            <w:tcW w:w="720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b w:val="1"/>
                <w:bCs w:val="1"/>
                <w:color w:val="auto"/>
              </w:rPr>
              <w:t>Selected Weighted-Average Interest Rates</w:t>
            </w:r>
            <w:r>
              <w:rPr>
                <w:rFonts w:ascii="Arial" w:cs="Arial" w:eastAsia="Arial" w:hAnsi="Arial"/>
                <w:sz w:val="20"/>
                <w:szCs w:val="20"/>
                <w:b w:val="1"/>
                <w:bCs w:val="1"/>
                <w:color w:val="auto"/>
                <w:vertAlign w:val="superscript"/>
              </w:rPr>
              <w:t>(1)</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8"/>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short-term debt</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gridSpan w:val="2"/>
          </w:tcPr>
          <w:p>
            <w:pPr>
              <w:jc w:val="right"/>
              <w:ind w:right="227"/>
              <w:spacing w:after="0"/>
              <w:rPr>
                <w:sz w:val="20"/>
                <w:szCs w:val="20"/>
                <w:color w:val="auto"/>
              </w:rPr>
            </w:pPr>
            <w:r>
              <w:rPr>
                <w:rFonts w:ascii="Arial" w:cs="Arial" w:eastAsia="Arial" w:hAnsi="Arial"/>
                <w:sz w:val="15"/>
                <w:szCs w:val="15"/>
                <w:b w:val="1"/>
                <w:bCs w:val="1"/>
                <w:color w:val="auto"/>
              </w:rPr>
              <w:t>5.30 %</w:t>
            </w:r>
          </w:p>
        </w:tc>
        <w:tc>
          <w:tcPr>
            <w:tcW w:w="1640" w:type="dxa"/>
            <w:vAlign w:val="bottom"/>
          </w:tcPr>
          <w:p>
            <w:pPr>
              <w:jc w:val="right"/>
              <w:spacing w:after="0"/>
              <w:rPr>
                <w:sz w:val="20"/>
                <w:szCs w:val="20"/>
                <w:color w:val="auto"/>
              </w:rPr>
            </w:pPr>
            <w:r>
              <w:rPr>
                <w:rFonts w:ascii="Arial" w:cs="Arial" w:eastAsia="Arial" w:hAnsi="Arial"/>
                <w:sz w:val="15"/>
                <w:szCs w:val="15"/>
                <w:color w:val="auto"/>
              </w:rPr>
              <w:t>5.13 %</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long-term debt, including portion maturing within one year</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2.88</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2.63</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callable debt</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2.62</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2.41</w:t>
            </w:r>
          </w:p>
        </w:tc>
      </w:tr>
      <w:tr>
        <w:trPr>
          <w:trHeight w:val="208"/>
        </w:trPr>
        <w:tc>
          <w:tcPr>
            <w:tcW w:w="720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Selected Maturity Data</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8"/>
        </w:trPr>
        <w:tc>
          <w:tcPr>
            <w:tcW w:w="7200" w:type="dxa"/>
            <w:vAlign w:val="bottom"/>
          </w:tcPr>
          <w:p>
            <w:pPr>
              <w:ind w:left="180"/>
              <w:spacing w:after="0"/>
              <w:rPr>
                <w:sz w:val="20"/>
                <w:szCs w:val="20"/>
                <w:color w:val="auto"/>
              </w:rPr>
            </w:pPr>
            <w:r>
              <w:rPr>
                <w:rFonts w:ascii="Arial" w:cs="Arial" w:eastAsia="Arial" w:hAnsi="Arial"/>
                <w:sz w:val="15"/>
                <w:szCs w:val="15"/>
                <w:color w:val="auto"/>
              </w:rPr>
              <w:t>Weighted-average maturity of debt maturing within one year (in days)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149</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135</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Weighted-average maturity of debt maturing in more than one year (in months)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45</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46</w:t>
            </w:r>
          </w:p>
        </w:tc>
      </w:tr>
      <w:tr>
        <w:trPr>
          <w:trHeight w:val="208"/>
        </w:trPr>
        <w:tc>
          <w:tcPr>
            <w:tcW w:w="720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Other Data</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8"/>
        </w:trPr>
        <w:tc>
          <w:tcPr>
            <w:tcW w:w="7200" w:type="dxa"/>
            <w:vAlign w:val="bottom"/>
          </w:tcPr>
          <w:p>
            <w:pPr>
              <w:ind w:left="180"/>
              <w:spacing w:after="0" w:line="198" w:lineRule="exact"/>
              <w:rPr>
                <w:sz w:val="20"/>
                <w:szCs w:val="20"/>
                <w:color w:val="auto"/>
              </w:rPr>
            </w:pPr>
            <w:r>
              <w:rPr>
                <w:rFonts w:ascii="Arial" w:cs="Arial" w:eastAsia="Arial" w:hAnsi="Arial"/>
                <w:sz w:val="15"/>
                <w:szCs w:val="15"/>
                <w:color w:val="auto"/>
              </w:rPr>
              <w:t>Outstanding callable debt</w:t>
            </w:r>
            <w:r>
              <w:rPr>
                <w:rFonts w:ascii="Arial" w:cs="Arial" w:eastAsia="Arial" w:hAnsi="Arial"/>
                <w:sz w:val="20"/>
                <w:szCs w:val="20"/>
                <w:color w:val="auto"/>
                <w:vertAlign w:val="superscript"/>
              </w:rPr>
              <w:t>(2)</w:t>
            </w:r>
          </w:p>
        </w:tc>
        <w:tc>
          <w:tcPr>
            <w:tcW w:w="1600" w:type="dxa"/>
            <w:vAlign w:val="bottom"/>
            <w:gridSpan w:val="2"/>
          </w:tcPr>
          <w:p>
            <w:pPr>
              <w:jc w:val="right"/>
              <w:ind w:right="1231"/>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42.9</w:t>
            </w:r>
          </w:p>
        </w:tc>
        <w:tc>
          <w:tcPr>
            <w:tcW w:w="4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43.8</w:t>
            </w:r>
          </w:p>
        </w:tc>
      </w:tr>
      <w:tr>
        <w:trPr>
          <w:trHeight w:val="273"/>
        </w:trPr>
        <w:tc>
          <w:tcPr>
            <w:tcW w:w="7200" w:type="dxa"/>
            <w:vAlign w:val="bottom"/>
          </w:tcPr>
          <w:p>
            <w:pPr>
              <w:ind w:left="180"/>
              <w:spacing w:after="0"/>
              <w:rPr>
                <w:sz w:val="20"/>
                <w:szCs w:val="20"/>
                <w:color w:val="auto"/>
              </w:rPr>
            </w:pPr>
            <w:r>
              <w:rPr>
                <w:rFonts w:ascii="Arial" w:cs="Arial" w:eastAsia="Arial" w:hAnsi="Arial"/>
                <w:sz w:val="15"/>
                <w:szCs w:val="15"/>
                <w:color w:val="auto"/>
              </w:rPr>
              <w:t>Connecticut Avenue Securities debt</w:t>
            </w:r>
            <w:r>
              <w:rPr>
                <w:rFonts w:ascii="Arial" w:cs="Arial" w:eastAsia="Arial" w:hAnsi="Arial"/>
                <w:sz w:val="20"/>
                <w:szCs w:val="20"/>
                <w:color w:val="auto"/>
                <w:vertAlign w:val="superscript"/>
              </w:rPr>
              <w:t>(3)</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2.3</w:t>
            </w:r>
          </w:p>
        </w:tc>
        <w:tc>
          <w:tcPr>
            <w:tcW w:w="460" w:type="dxa"/>
            <w:vAlign w:val="bottom"/>
          </w:tcPr>
          <w:p>
            <w:pPr>
              <w:spacing w:after="0"/>
              <w:rPr>
                <w:sz w:val="23"/>
                <w:szCs w:val="23"/>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9" w:name="page50"/>
    <w:bookmarkEnd w:id="49"/>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hanging="217"/>
        <w:spacing w:after="0"/>
        <w:tabs>
          <w:tab w:leader="none" w:pos="22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Includes short-term callable debt of $1.5 billion and $2.6 billion as of June 30, 2024 and December 31, 2023, respectively.</w:t>
      </w:r>
    </w:p>
    <w:p>
      <w:pPr>
        <w:spacing w:after="0" w:line="38" w:lineRule="exact"/>
        <w:rPr>
          <w:rFonts w:ascii="Arial" w:cs="Arial" w:eastAsia="Arial" w:hAnsi="Arial"/>
          <w:sz w:val="18"/>
          <w:szCs w:val="18"/>
          <w:color w:val="auto"/>
          <w:vertAlign w:val="superscript"/>
        </w:rPr>
      </w:pPr>
    </w:p>
    <w:p>
      <w:pPr>
        <w:ind w:left="240" w:right="460" w:hanging="237"/>
        <w:spacing w:after="0" w:line="224" w:lineRule="auto"/>
        <w:tabs>
          <w:tab w:leader="none" w:pos="233" w:val="left"/>
        </w:tabs>
        <w:numPr>
          <w:ilvl w:val="0"/>
          <w:numId w:val="51"/>
        </w:numPr>
        <w:rPr>
          <w:rFonts w:ascii="Arial" w:cs="Arial" w:eastAsia="Arial" w:hAnsi="Arial"/>
          <w:sz w:val="17"/>
          <w:szCs w:val="17"/>
          <w:color w:val="auto"/>
          <w:vertAlign w:val="superscript"/>
        </w:rPr>
      </w:pPr>
      <w:r>
        <w:rPr>
          <w:rFonts w:ascii="Arial" w:cs="Arial" w:eastAsia="Arial" w:hAnsi="Arial"/>
          <w:sz w:val="13"/>
          <w:szCs w:val="13"/>
          <w:color w:val="auto"/>
        </w:rPr>
        <w:t>Represents CAS debt issued prior to November 2018. See “MD&amp;A—Single-Family Business—Single-Family Mortgage Credit Risk Management—Single-Family Credit Enhancement and Transfer of Mortgage Credit Risk—Credit Risk Transfer Transactions” in our 2023 Form 10-K for information regarding our Connecticut Avenue Securities</w:t>
      </w:r>
      <w:r>
        <w:rPr>
          <w:rFonts w:ascii="Arial" w:cs="Arial" w:eastAsia="Arial" w:hAnsi="Arial"/>
          <w:sz w:val="8"/>
          <w:szCs w:val="8"/>
          <w:color w:val="auto"/>
        </w:rPr>
        <w:t>®</w:t>
      </w:r>
      <w:r>
        <w:rPr>
          <w:rFonts w:ascii="Arial" w:cs="Arial" w:eastAsia="Arial" w:hAnsi="Arial"/>
          <w:sz w:val="13"/>
          <w:szCs w:val="13"/>
          <w:color w:val="auto"/>
        </w:rPr>
        <w:t>.</w:t>
      </w:r>
    </w:p>
    <w:p>
      <w:pPr>
        <w:spacing w:after="0" w:line="5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intend to repay our short-term and long-term debt obligations as they become due primarily through cash from business operations, the sale of assets in our corporate liquidity portfolio and the issuance of additional debt securities.</w:t>
      </w:r>
    </w:p>
    <w:p>
      <w:pPr>
        <w:spacing w:after="0" w:line="2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information on the maturity profile of our outstanding long-term debt, see “Note 8, Short-Term and Long-Term Debt” in this report and in our 2023 Form 10-K.</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Debt Funding Activity</w:t>
      </w:r>
    </w:p>
    <w:p>
      <w:pPr>
        <w:spacing w:after="0" w:line="8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table below displays activity in debt of Fannie Mae. This activity excludes the debt of consolidated trusts and intraday borrowing. The reported amounts of debt issued and paid off during each period represent the face amount of the debt at issuance and redemption.</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01543"/>
        </w:rPr>
        <w:t>Activity in Debt of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7122160"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4"/>
          </w:tcPr>
          <w:p>
            <w:pPr>
              <w:ind w:left="40"/>
              <w:spacing w:after="0"/>
              <w:rPr>
                <w:sz w:val="20"/>
                <w:szCs w:val="20"/>
                <w:color w:val="auto"/>
              </w:rPr>
            </w:pPr>
            <w:r>
              <w:rPr>
                <w:rFonts w:ascii="Arial" w:cs="Arial" w:eastAsia="Arial" w:hAnsi="Arial"/>
                <w:sz w:val="14"/>
                <w:szCs w:val="14"/>
                <w:b w:val="1"/>
                <w:bCs w:val="1"/>
                <w:color w:val="auto"/>
              </w:rPr>
              <w:t>For the Three Months Ended June 30,</w:t>
            </w:r>
          </w:p>
        </w:tc>
        <w:tc>
          <w:tcPr>
            <w:tcW w:w="200" w:type="dxa"/>
            <w:vAlign w:val="bottom"/>
          </w:tcPr>
          <w:p>
            <w:pPr>
              <w:spacing w:after="0"/>
              <w:rPr>
                <w:sz w:val="16"/>
                <w:szCs w:val="16"/>
                <w:color w:val="auto"/>
              </w:rPr>
            </w:pPr>
          </w:p>
        </w:tc>
        <w:tc>
          <w:tcPr>
            <w:tcW w:w="2700" w:type="dxa"/>
            <w:vAlign w:val="bottom"/>
            <w:gridSpan w:val="3"/>
          </w:tcPr>
          <w:p>
            <w:pPr>
              <w:jc w:val="right"/>
              <w:ind w:right="243"/>
              <w:spacing w:after="0"/>
              <w:rPr>
                <w:sz w:val="20"/>
                <w:szCs w:val="20"/>
                <w:color w:val="auto"/>
              </w:rPr>
            </w:pPr>
            <w:r>
              <w:rPr>
                <w:rFonts w:ascii="Arial" w:cs="Arial" w:eastAsia="Arial" w:hAnsi="Arial"/>
                <w:sz w:val="14"/>
                <w:szCs w:val="14"/>
                <w:b w:val="1"/>
                <w:bCs w:val="1"/>
                <w:color w:val="auto"/>
              </w:rPr>
              <w:t>For the Six Months Ended June 30,</w:t>
            </w:r>
          </w:p>
        </w:tc>
      </w:tr>
      <w:tr>
        <w:trPr>
          <w:trHeight w:val="186"/>
        </w:trPr>
        <w:tc>
          <w:tcPr>
            <w:tcW w:w="5360" w:type="dxa"/>
            <w:vAlign w:val="bottom"/>
          </w:tcPr>
          <w:p>
            <w:pPr>
              <w:spacing w:after="0"/>
              <w:rPr>
                <w:sz w:val="16"/>
                <w:szCs w:val="16"/>
                <w:color w:val="auto"/>
              </w:rPr>
            </w:pPr>
          </w:p>
        </w:tc>
        <w:tc>
          <w:tcPr>
            <w:tcW w:w="160" w:type="dxa"/>
            <w:vAlign w:val="bottom"/>
            <w:tcBorders>
              <w:top w:val="single" w:sz="8" w:color="2C6937"/>
              <w:bottom w:val="single" w:sz="8" w:color="2C6937"/>
            </w:tcBorders>
          </w:tcPr>
          <w:p>
            <w:pPr>
              <w:spacing w:after="0"/>
              <w:rPr>
                <w:sz w:val="16"/>
                <w:szCs w:val="16"/>
                <w:color w:val="auto"/>
              </w:rPr>
            </w:pPr>
          </w:p>
        </w:tc>
        <w:tc>
          <w:tcPr>
            <w:tcW w:w="1280" w:type="dxa"/>
            <w:vAlign w:val="bottom"/>
            <w:tcBorders>
              <w:top w:val="single" w:sz="8" w:color="2C6937"/>
              <w:bottom w:val="single" w:sz="8" w:color="2C6937"/>
            </w:tcBorders>
          </w:tcPr>
          <w:p>
            <w:pPr>
              <w:jc w:val="right"/>
              <w:ind w:right="524"/>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top w:val="single" w:sz="8" w:color="2C6937"/>
              <w:bottom w:val="single" w:sz="8" w:color="2C6937"/>
            </w:tcBorders>
          </w:tcPr>
          <w:p>
            <w:pPr>
              <w:spacing w:after="0"/>
              <w:rPr>
                <w:sz w:val="16"/>
                <w:szCs w:val="16"/>
                <w:color w:val="auto"/>
              </w:rPr>
            </w:pPr>
          </w:p>
        </w:tc>
        <w:tc>
          <w:tcPr>
            <w:tcW w:w="1060" w:type="dxa"/>
            <w:vAlign w:val="bottom"/>
            <w:tcBorders>
              <w:top w:val="single" w:sz="8" w:color="2C6937"/>
              <w:bottom w:val="single" w:sz="8" w:color="2C6937"/>
            </w:tcBorders>
          </w:tcPr>
          <w:p>
            <w:pPr>
              <w:jc w:val="right"/>
              <w:ind w:right="4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1240" w:type="dxa"/>
            <w:vAlign w:val="bottom"/>
            <w:tcBorders>
              <w:top w:val="single" w:sz="8" w:color="2C6937"/>
              <w:bottom w:val="single" w:sz="8" w:color="2C6937"/>
            </w:tcBorders>
          </w:tcPr>
          <w:p>
            <w:pPr>
              <w:jc w:val="right"/>
              <w:ind w:right="504"/>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top w:val="single" w:sz="8" w:color="2C6937"/>
              <w:bottom w:val="single" w:sz="8" w:color="2C6937"/>
            </w:tcBorders>
          </w:tcPr>
          <w:p>
            <w:pPr>
              <w:spacing w:after="0"/>
              <w:rPr>
                <w:sz w:val="16"/>
                <w:szCs w:val="16"/>
                <w:color w:val="auto"/>
              </w:rPr>
            </w:pPr>
          </w:p>
        </w:tc>
        <w:tc>
          <w:tcPr>
            <w:tcW w:w="1080" w:type="dxa"/>
            <w:vAlign w:val="bottom"/>
            <w:tcBorders>
              <w:top w:val="single" w:sz="8" w:color="2C6937"/>
              <w:bottom w:val="single" w:sz="8" w:color="2C6937"/>
            </w:tcBorders>
          </w:tcPr>
          <w:p>
            <w:pPr>
              <w:jc w:val="right"/>
              <w:ind w:right="483"/>
              <w:spacing w:after="0"/>
              <w:rPr>
                <w:sz w:val="20"/>
                <w:szCs w:val="20"/>
                <w:color w:val="auto"/>
              </w:rPr>
            </w:pPr>
            <w:r>
              <w:rPr>
                <w:rFonts w:ascii="Arial" w:cs="Arial" w:eastAsia="Arial" w:hAnsi="Arial"/>
                <w:sz w:val="14"/>
                <w:szCs w:val="14"/>
                <w:b w:val="1"/>
                <w:bCs w:val="1"/>
                <w:color w:val="auto"/>
              </w:rPr>
              <w:t>2023</w:t>
            </w:r>
          </w:p>
        </w:tc>
      </w:tr>
      <w:tr>
        <w:trPr>
          <w:trHeight w:val="185"/>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4"/>
          </w:tcPr>
          <w:p>
            <w:pPr>
              <w:jc w:val="right"/>
              <w:ind w:right="764"/>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8"/>
        </w:trPr>
        <w:tc>
          <w:tcPr>
            <w:tcW w:w="536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Issued during the period:</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8"/>
        </w:trPr>
        <w:tc>
          <w:tcPr>
            <w:tcW w:w="5360" w:type="dxa"/>
            <w:vAlign w:val="bottom"/>
          </w:tcPr>
          <w:p>
            <w:pPr>
              <w:ind w:left="160"/>
              <w:spacing w:after="0"/>
              <w:rPr>
                <w:sz w:val="20"/>
                <w:szCs w:val="20"/>
                <w:color w:val="auto"/>
              </w:rPr>
            </w:pPr>
            <w:r>
              <w:rPr>
                <w:rFonts w:ascii="Arial" w:cs="Arial" w:eastAsia="Arial" w:hAnsi="Arial"/>
                <w:sz w:val="15"/>
                <w:szCs w:val="15"/>
                <w:color w:val="auto"/>
              </w:rPr>
              <w:t>Short-term:</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ind w:right="184"/>
              <w:spacing w:after="0"/>
              <w:rPr>
                <w:sz w:val="20"/>
                <w:szCs w:val="20"/>
                <w:color w:val="auto"/>
              </w:rPr>
            </w:pPr>
            <w:r>
              <w:rPr>
                <w:rFonts w:ascii="Arial" w:cs="Arial" w:eastAsia="Arial" w:hAnsi="Arial"/>
                <w:sz w:val="15"/>
                <w:szCs w:val="15"/>
                <w:b w:val="1"/>
                <w:bCs w:val="1"/>
                <w:color w:val="auto"/>
              </w:rPr>
              <w:t>61,657</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56,045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ind w:right="164"/>
              <w:spacing w:after="0"/>
              <w:rPr>
                <w:sz w:val="20"/>
                <w:szCs w:val="20"/>
                <w:color w:val="auto"/>
              </w:rPr>
            </w:pPr>
            <w:r>
              <w:rPr>
                <w:rFonts w:ascii="Arial" w:cs="Arial" w:eastAsia="Arial" w:hAnsi="Arial"/>
                <w:sz w:val="15"/>
                <w:szCs w:val="15"/>
                <w:b w:val="1"/>
                <w:bCs w:val="1"/>
                <w:color w:val="auto"/>
              </w:rPr>
              <w:t>141,158</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111,151</w:t>
            </w:r>
          </w:p>
        </w:tc>
      </w:tr>
      <w:tr>
        <w:trPr>
          <w:trHeight w:val="208"/>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6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5.30 %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4.68 %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5.29 %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4.53 %</w:t>
            </w:r>
          </w:p>
        </w:tc>
      </w:tr>
      <w:tr>
        <w:trPr>
          <w:trHeight w:val="204"/>
        </w:trPr>
        <w:tc>
          <w:tcPr>
            <w:tcW w:w="5360" w:type="dxa"/>
            <w:vAlign w:val="bottom"/>
          </w:tcPr>
          <w:p>
            <w:pPr>
              <w:ind w:left="160"/>
              <w:spacing w:after="0"/>
              <w:rPr>
                <w:sz w:val="20"/>
                <w:szCs w:val="20"/>
                <w:color w:val="auto"/>
              </w:rPr>
            </w:pPr>
            <w:r>
              <w:rPr>
                <w:rFonts w:ascii="Arial" w:cs="Arial" w:eastAsia="Arial" w:hAnsi="Arial"/>
                <w:sz w:val="15"/>
                <w:szCs w:val="15"/>
                <w:color w:val="auto"/>
              </w:rPr>
              <w:t>Long-term:</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ind w:right="184"/>
              <w:spacing w:after="0"/>
              <w:rPr>
                <w:sz w:val="20"/>
                <w:szCs w:val="20"/>
                <w:color w:val="auto"/>
              </w:rPr>
            </w:pPr>
            <w:r>
              <w:rPr>
                <w:rFonts w:ascii="Arial" w:cs="Arial" w:eastAsia="Arial" w:hAnsi="Arial"/>
                <w:sz w:val="15"/>
                <w:szCs w:val="15"/>
                <w:b w:val="1"/>
                <w:bCs w:val="1"/>
                <w:color w:val="auto"/>
              </w:rPr>
              <w:t>5,865</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3,093</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ind w:right="164"/>
              <w:spacing w:after="0"/>
              <w:rPr>
                <w:sz w:val="20"/>
                <w:szCs w:val="20"/>
                <w:color w:val="auto"/>
              </w:rPr>
            </w:pPr>
            <w:r>
              <w:rPr>
                <w:rFonts w:ascii="Arial" w:cs="Arial" w:eastAsia="Arial" w:hAnsi="Arial"/>
                <w:sz w:val="15"/>
                <w:szCs w:val="15"/>
                <w:b w:val="1"/>
                <w:bCs w:val="1"/>
                <w:color w:val="auto"/>
              </w:rPr>
              <w:t>9,857</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5,961</w:t>
            </w:r>
          </w:p>
        </w:tc>
      </w:tr>
      <w:tr>
        <w:trPr>
          <w:trHeight w:val="208"/>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6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5.29 %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5.28 %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5.14 %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5.33 %</w:t>
            </w:r>
          </w:p>
        </w:tc>
      </w:tr>
      <w:tr>
        <w:trPr>
          <w:trHeight w:val="204"/>
        </w:trPr>
        <w:tc>
          <w:tcPr>
            <w:tcW w:w="5360" w:type="dxa"/>
            <w:vAlign w:val="bottom"/>
          </w:tcPr>
          <w:p>
            <w:pPr>
              <w:ind w:left="160"/>
              <w:spacing w:after="0"/>
              <w:rPr>
                <w:sz w:val="20"/>
                <w:szCs w:val="20"/>
                <w:color w:val="auto"/>
              </w:rPr>
            </w:pPr>
            <w:r>
              <w:rPr>
                <w:rFonts w:ascii="Arial" w:cs="Arial" w:eastAsia="Arial" w:hAnsi="Arial"/>
                <w:sz w:val="15"/>
                <w:szCs w:val="15"/>
                <w:color w:val="auto"/>
              </w:rPr>
              <w:t>Total issued:</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ind w:right="184"/>
              <w:spacing w:after="0"/>
              <w:rPr>
                <w:sz w:val="20"/>
                <w:szCs w:val="20"/>
                <w:color w:val="auto"/>
              </w:rPr>
            </w:pPr>
            <w:r>
              <w:rPr>
                <w:rFonts w:ascii="Arial" w:cs="Arial" w:eastAsia="Arial" w:hAnsi="Arial"/>
                <w:sz w:val="15"/>
                <w:szCs w:val="15"/>
                <w:b w:val="1"/>
                <w:bCs w:val="1"/>
                <w:color w:val="auto"/>
              </w:rPr>
              <w:t>67,522</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59,138</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ind w:right="164"/>
              <w:spacing w:after="0"/>
              <w:rPr>
                <w:sz w:val="20"/>
                <w:szCs w:val="20"/>
                <w:color w:val="auto"/>
              </w:rPr>
            </w:pPr>
            <w:r>
              <w:rPr>
                <w:rFonts w:ascii="Arial" w:cs="Arial" w:eastAsia="Arial" w:hAnsi="Arial"/>
                <w:sz w:val="15"/>
                <w:szCs w:val="15"/>
                <w:b w:val="1"/>
                <w:bCs w:val="1"/>
                <w:color w:val="auto"/>
              </w:rPr>
              <w:t>151,015</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117,112</w:t>
            </w:r>
          </w:p>
        </w:tc>
      </w:tr>
      <w:tr>
        <w:trPr>
          <w:trHeight w:val="206"/>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5.30 %</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4.71 %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5.28 %</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4.57 %</w:t>
            </w:r>
          </w:p>
        </w:tc>
      </w:tr>
      <w:tr>
        <w:trPr>
          <w:trHeight w:val="208"/>
        </w:trPr>
        <w:tc>
          <w:tcPr>
            <w:tcW w:w="536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b w:val="1"/>
                <w:bCs w:val="1"/>
                <w:color w:val="auto"/>
              </w:rPr>
              <w:t>Paid off during the period:</w:t>
            </w:r>
            <w:r>
              <w:rPr>
                <w:rFonts w:ascii="Arial" w:cs="Arial" w:eastAsia="Arial" w:hAnsi="Arial"/>
                <w:sz w:val="20"/>
                <w:szCs w:val="20"/>
                <w:color w:val="auto"/>
                <w:vertAlign w:val="superscript"/>
              </w:rPr>
              <w:t>(1)</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8"/>
        </w:trPr>
        <w:tc>
          <w:tcPr>
            <w:tcW w:w="5360" w:type="dxa"/>
            <w:vAlign w:val="bottom"/>
          </w:tcPr>
          <w:p>
            <w:pPr>
              <w:ind w:left="160"/>
              <w:spacing w:after="0"/>
              <w:rPr>
                <w:sz w:val="20"/>
                <w:szCs w:val="20"/>
                <w:color w:val="auto"/>
              </w:rPr>
            </w:pPr>
            <w:r>
              <w:rPr>
                <w:rFonts w:ascii="Arial" w:cs="Arial" w:eastAsia="Arial" w:hAnsi="Arial"/>
                <w:sz w:val="15"/>
                <w:szCs w:val="15"/>
                <w:color w:val="auto"/>
              </w:rPr>
              <w:t>Short-term:</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ind w:right="184"/>
              <w:spacing w:after="0"/>
              <w:rPr>
                <w:sz w:val="20"/>
                <w:szCs w:val="20"/>
                <w:color w:val="auto"/>
              </w:rPr>
            </w:pPr>
            <w:r>
              <w:rPr>
                <w:rFonts w:ascii="Arial" w:cs="Arial" w:eastAsia="Arial" w:hAnsi="Arial"/>
                <w:sz w:val="15"/>
                <w:szCs w:val="15"/>
                <w:b w:val="1"/>
                <w:bCs w:val="1"/>
                <w:color w:val="auto"/>
              </w:rPr>
              <w:t>63,895</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54,405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ind w:right="164"/>
              <w:spacing w:after="0"/>
              <w:rPr>
                <w:sz w:val="20"/>
                <w:szCs w:val="20"/>
                <w:color w:val="auto"/>
              </w:rPr>
            </w:pPr>
            <w:r>
              <w:rPr>
                <w:rFonts w:ascii="Arial" w:cs="Arial" w:eastAsia="Arial" w:hAnsi="Arial"/>
                <w:sz w:val="15"/>
                <w:szCs w:val="15"/>
                <w:b w:val="1"/>
                <w:bCs w:val="1"/>
                <w:color w:val="auto"/>
              </w:rPr>
              <w:t>146,459</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105,711</w:t>
            </w:r>
          </w:p>
        </w:tc>
      </w:tr>
      <w:tr>
        <w:trPr>
          <w:trHeight w:val="208"/>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6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4.80 %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4.14 %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4.75 %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4.07 %</w:t>
            </w:r>
          </w:p>
        </w:tc>
      </w:tr>
      <w:tr>
        <w:trPr>
          <w:trHeight w:val="204"/>
        </w:trPr>
        <w:tc>
          <w:tcPr>
            <w:tcW w:w="5360" w:type="dxa"/>
            <w:vAlign w:val="bottom"/>
          </w:tcPr>
          <w:p>
            <w:pPr>
              <w:ind w:left="160"/>
              <w:spacing w:after="0" w:line="205" w:lineRule="exact"/>
              <w:rPr>
                <w:sz w:val="20"/>
                <w:szCs w:val="20"/>
                <w:color w:val="auto"/>
              </w:rPr>
            </w:pPr>
            <w:r>
              <w:rPr>
                <w:rFonts w:ascii="Arial" w:cs="Arial" w:eastAsia="Arial" w:hAnsi="Arial"/>
                <w:sz w:val="15"/>
                <w:szCs w:val="15"/>
                <w:color w:val="auto"/>
              </w:rPr>
              <w:t>Long-term:</w:t>
            </w:r>
            <w:r>
              <w:rPr>
                <w:rFonts w:ascii="Arial" w:cs="Arial" w:eastAsia="Arial" w:hAnsi="Arial"/>
                <w:sz w:val="20"/>
                <w:szCs w:val="20"/>
                <w:color w:val="auto"/>
                <w:vertAlign w:val="superscript"/>
              </w:rPr>
              <w:t>(2)</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ind w:right="184"/>
              <w:spacing w:after="0"/>
              <w:rPr>
                <w:sz w:val="20"/>
                <w:szCs w:val="20"/>
                <w:color w:val="auto"/>
              </w:rPr>
            </w:pPr>
            <w:r>
              <w:rPr>
                <w:rFonts w:ascii="Arial" w:cs="Arial" w:eastAsia="Arial" w:hAnsi="Arial"/>
                <w:sz w:val="15"/>
                <w:szCs w:val="15"/>
                <w:b w:val="1"/>
                <w:bCs w:val="1"/>
                <w:color w:val="auto"/>
              </w:rPr>
              <w:t>3,543</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5,782</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ind w:right="164"/>
              <w:spacing w:after="0"/>
              <w:rPr>
                <w:sz w:val="20"/>
                <w:szCs w:val="20"/>
                <w:color w:val="auto"/>
              </w:rPr>
            </w:pPr>
            <w:r>
              <w:rPr>
                <w:rFonts w:ascii="Arial" w:cs="Arial" w:eastAsia="Arial" w:hAnsi="Arial"/>
                <w:sz w:val="15"/>
                <w:szCs w:val="15"/>
                <w:b w:val="1"/>
                <w:bCs w:val="1"/>
                <w:color w:val="auto"/>
              </w:rPr>
              <w:t>9,958</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7,887</w:t>
            </w:r>
          </w:p>
        </w:tc>
      </w:tr>
      <w:tr>
        <w:trPr>
          <w:trHeight w:val="208"/>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6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4.02 %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2.45 %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3.54 %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2.55 %</w:t>
            </w:r>
          </w:p>
        </w:tc>
      </w:tr>
      <w:tr>
        <w:trPr>
          <w:trHeight w:val="204"/>
        </w:trPr>
        <w:tc>
          <w:tcPr>
            <w:tcW w:w="5360" w:type="dxa"/>
            <w:vAlign w:val="bottom"/>
          </w:tcPr>
          <w:p>
            <w:pPr>
              <w:ind w:left="160"/>
              <w:spacing w:after="0"/>
              <w:rPr>
                <w:sz w:val="20"/>
                <w:szCs w:val="20"/>
                <w:color w:val="auto"/>
              </w:rPr>
            </w:pPr>
            <w:r>
              <w:rPr>
                <w:rFonts w:ascii="Arial" w:cs="Arial" w:eastAsia="Arial" w:hAnsi="Arial"/>
                <w:sz w:val="15"/>
                <w:szCs w:val="15"/>
                <w:color w:val="auto"/>
              </w:rPr>
              <w:t>Total paid off:</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ind w:right="184"/>
              <w:spacing w:after="0"/>
              <w:rPr>
                <w:sz w:val="20"/>
                <w:szCs w:val="20"/>
                <w:color w:val="auto"/>
              </w:rPr>
            </w:pPr>
            <w:r>
              <w:rPr>
                <w:rFonts w:ascii="Arial" w:cs="Arial" w:eastAsia="Arial" w:hAnsi="Arial"/>
                <w:sz w:val="15"/>
                <w:szCs w:val="15"/>
                <w:b w:val="1"/>
                <w:bCs w:val="1"/>
                <w:color w:val="auto"/>
              </w:rPr>
              <w:t>67,438</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60,187</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ind w:right="164"/>
              <w:spacing w:after="0"/>
              <w:rPr>
                <w:sz w:val="20"/>
                <w:szCs w:val="20"/>
                <w:color w:val="auto"/>
              </w:rPr>
            </w:pPr>
            <w:r>
              <w:rPr>
                <w:rFonts w:ascii="Arial" w:cs="Arial" w:eastAsia="Arial" w:hAnsi="Arial"/>
                <w:sz w:val="15"/>
                <w:szCs w:val="15"/>
                <w:b w:val="1"/>
                <w:bCs w:val="1"/>
                <w:color w:val="auto"/>
              </w:rPr>
              <w:t>156,417</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113,598</w:t>
            </w:r>
          </w:p>
        </w:tc>
      </w:tr>
      <w:tr>
        <w:trPr>
          <w:trHeight w:val="214"/>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6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4.76 %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3.98 %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4.67 %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3.96 %</w:t>
            </w:r>
          </w:p>
        </w:tc>
      </w:tr>
    </w:tbl>
    <w:p>
      <w:pPr>
        <w:spacing w:after="0" w:line="115" w:lineRule="exact"/>
        <w:rPr>
          <w:sz w:val="20"/>
          <w:szCs w:val="20"/>
          <w:color w:val="auto"/>
        </w:rPr>
      </w:pPr>
    </w:p>
    <w:p>
      <w:pPr>
        <w:ind w:left="240" w:right="260" w:hanging="237"/>
        <w:spacing w:after="0" w:line="226" w:lineRule="auto"/>
        <w:tabs>
          <w:tab w:leader="none" w:pos="233"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Consists of all payments on debt, including regularly scheduled principal payments, payments at maturity, payments resulting from calls and payments for any other repurchases. Repurchases of debt and early retirements of zero-coupon debt are reported at original face value, which does not equal the amount of actual cash payment.</w:t>
      </w:r>
    </w:p>
    <w:p>
      <w:pPr>
        <w:spacing w:after="0" w:line="14" w:lineRule="exact"/>
        <w:rPr>
          <w:rFonts w:ascii="Arial" w:cs="Arial" w:eastAsia="Arial" w:hAnsi="Arial"/>
          <w:sz w:val="18"/>
          <w:szCs w:val="18"/>
          <w:color w:val="auto"/>
          <w:vertAlign w:val="superscript"/>
        </w:rPr>
      </w:pPr>
    </w:p>
    <w:p>
      <w:pPr>
        <w:ind w:left="240" w:right="140" w:hanging="237"/>
        <w:spacing w:after="0" w:line="264" w:lineRule="auto"/>
        <w:tabs>
          <w:tab w:leader="none" w:pos="233" w:val="left"/>
        </w:tabs>
        <w:numPr>
          <w:ilvl w:val="0"/>
          <w:numId w:val="52"/>
        </w:numPr>
        <w:rPr>
          <w:rFonts w:ascii="Arial" w:cs="Arial" w:eastAsia="Arial" w:hAnsi="Arial"/>
          <w:sz w:val="9"/>
          <w:szCs w:val="9"/>
          <w:color w:val="auto"/>
        </w:rPr>
      </w:pPr>
      <w:r>
        <w:rPr>
          <w:rFonts w:ascii="Arial" w:cs="Arial" w:eastAsia="Arial" w:hAnsi="Arial"/>
          <w:sz w:val="14"/>
          <w:szCs w:val="14"/>
          <w:color w:val="auto"/>
        </w:rPr>
        <w:t>Includes credit risk-sharing securities issued as CAS debt prior to November 2018. For information on our credit risk transfer transactions, see “MD&amp;A—Single-Family Business— Single-Family Mortgage Credit Risk Management—Single-Family Credit Enhancement and Transfer of Mortgage Credit Risk—Credit Risk Transfer Transactions” in our 2023 Form 10-K.</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0" w:name="page51"/>
    <w:bookmarkEnd w:id="50"/>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Corporate Liquidity Portfolio</w:t>
      </w:r>
    </w:p>
    <w:p>
      <w:pPr>
        <w:spacing w:after="0" w:line="8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chart below displays information on the composition of our corporate liquidity portfolio. The balance and composition of our corporate liquidity portfolio fluctuates as a result of changes in our cash flows, liquidity in the fixed-income markets, and our liquidity risk management framework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-25400</wp:posOffset>
            </wp:positionV>
            <wp:extent cx="4911725" cy="23495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1172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U.S.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53975</wp:posOffset>
            </wp:positionV>
            <wp:extent cx="130810" cy="1308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Securities purchased under agreements to resell</w:t>
      </w:r>
    </w:p>
    <w:p>
      <w:pPr>
        <w:spacing w:after="0" w:line="74"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Cash and cash equivalents</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-138430</wp:posOffset>
            </wp:positionV>
            <wp:extent cx="130810" cy="1308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76" w:lineRule="exact"/>
        <w:rPr>
          <w:sz w:val="20"/>
          <w:szCs w:val="20"/>
          <w:color w:val="auto"/>
        </w:rPr>
      </w:pPr>
    </w:p>
    <w:p>
      <w:pPr>
        <w:ind w:left="220" w:hanging="217"/>
        <w:spacing w:after="0"/>
        <w:tabs>
          <w:tab w:leader="none" w:pos="220" w:val="left"/>
        </w:tabs>
        <w:numPr>
          <w:ilvl w:val="0"/>
          <w:numId w:val="53"/>
        </w:numPr>
        <w:rPr>
          <w:rFonts w:ascii="Arial" w:cs="Arial" w:eastAsia="Arial" w:hAnsi="Arial"/>
          <w:sz w:val="9"/>
          <w:szCs w:val="9"/>
          <w:color w:val="auto"/>
        </w:rPr>
      </w:pPr>
      <w:r>
        <w:rPr>
          <w:rFonts w:ascii="Arial" w:cs="Arial" w:eastAsia="Arial" w:hAnsi="Arial"/>
          <w:sz w:val="14"/>
          <w:szCs w:val="14"/>
          <w:color w:val="auto"/>
        </w:rPr>
        <w:t>Cash equivalents are composed of overnight reverse repurchase agreements and U.S. Treasuries, if any, that have a maturity at the date of acquisition of three months or less.</w:t>
      </w:r>
    </w:p>
    <w:p>
      <w:pPr>
        <w:spacing w:after="0" w:line="109"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Off-Balance Sheet Arrangements</w:t>
      </w:r>
    </w:p>
    <w:p>
      <w:pPr>
        <w:spacing w:after="0" w:line="80"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We enter into certain business arrangements to facilitate our statutory purpose of providing liquidity to the secondary mortgage market and to reduce our exposure to interest rate fluctuations. Some of these arrangements are not recorded in our condensed consolidated balance sheets or may be recorded in amounts different from the full contract or notional amount of the transaction, depending on the nature or structure of, and the accounting required to be applied to, the arrangement. These arrangements are commonly referred to as “off-balance sheet arrangements” and expose us to potential losses in excess of the amounts recorded in our condensed consolidated balance sheets.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Our off-balance sheet arrangements result primarily from the following:</w:t>
      </w:r>
    </w:p>
    <w:p>
      <w:pPr>
        <w:spacing w:after="0" w:line="87" w:lineRule="exact"/>
        <w:rPr>
          <w:sz w:val="20"/>
          <w:szCs w:val="20"/>
          <w:color w:val="auto"/>
        </w:rPr>
      </w:pPr>
    </w:p>
    <w:p>
      <w:pPr>
        <w:ind w:left="620" w:right="700" w:hanging="307"/>
        <w:spacing w:after="0" w:line="293" w:lineRule="auto"/>
        <w:tabs>
          <w:tab w:leader="none" w:pos="612"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guaranty of mortgage loan securitization and resecuritization transactions over which we have no control, which are reflected in our unconsolidated Fannie Mae MBS net of any beneficial ownership interest we retain, and other financial guarantees that we do not control;</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liquidity support transactions;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partnership interests.</w:t>
      </w:r>
    </w:p>
    <w:p>
      <w:pPr>
        <w:spacing w:after="0" w:line="10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total amount of our off-balance sheet exposure related to unconsolidated Fannie Mae MBS net of any beneficial interest that we retain, and other financial guarantees was $219.9 billion as of June 30, 2024 and $227.5 billion as of December 31, 2023. The majority of the other financial guarantees consists of Freddie Mac securities backing Fannie Mae structured securities. See “Guaranty Book of Business” and “Note 7, Financial Guarantees” for more information regarding our maximum exposure to loss on unconsolidated Fannie Mae MBS and Freddie Mac securities.</w:t>
      </w:r>
    </w:p>
    <w:p>
      <w:pPr>
        <w:spacing w:after="0" w:line="35"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Our total outstanding liquidity commitments to advance funds for securities backed by multifamily housing revenue bonds totaled $4.4 billion as of June 30, 2024 and $4.5 billion as of December 31, 2023. These commitments require us to advance funds to third parties that enable them to repurchase tendered bonds or securities that are unable to be remarketed.</w:t>
      </w:r>
    </w:p>
    <w:p>
      <w:pPr>
        <w:spacing w:after="0" w:line="2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have investments in various limited partnerships and similar legal entities, which consist of LIHTC investments, community investments and investments in other entities. When we do not have a controlling financial interest in those entities, our condensed consolidated balance sheets reflect only our investment rather than the full amount of the partnership’s assets and liabilities. See “Note 3, Consolidations and Transfers of Financial Assets— Unconsolidated VIEs” for information regarding our investments in limited partnerships and similar legal entities.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1" w:name="page52"/>
    <w:bookmarkEnd w:id="51"/>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Cash Flows</w:t>
      </w:r>
    </w:p>
    <w:p>
      <w:pPr>
        <w:spacing w:after="0" w:line="80" w:lineRule="exact"/>
        <w:rPr>
          <w:sz w:val="20"/>
          <w:szCs w:val="20"/>
          <w:color w:val="auto"/>
        </w:rPr>
      </w:pPr>
    </w:p>
    <w:p>
      <w:pPr>
        <w:jc w:val="both"/>
        <w:ind w:right="140"/>
        <w:spacing w:after="0" w:line="272" w:lineRule="auto"/>
        <w:rPr>
          <w:sz w:val="20"/>
          <w:szCs w:val="20"/>
          <w:color w:val="auto"/>
        </w:rPr>
      </w:pPr>
      <w:r>
        <w:rPr>
          <w:rFonts w:ascii="Arial" w:cs="Arial" w:eastAsia="Arial" w:hAnsi="Arial"/>
          <w:sz w:val="16"/>
          <w:szCs w:val="16"/>
          <w:i w:val="1"/>
          <w:iCs w:val="1"/>
          <w:u w:val="single" w:color="auto"/>
          <w:color w:val="auto"/>
        </w:rPr>
        <w:t>Six Months Ended June 30, 2024</w:t>
      </w:r>
      <w:r>
        <w:rPr>
          <w:rFonts w:ascii="Arial" w:cs="Arial" w:eastAsia="Arial" w:hAnsi="Arial"/>
          <w:sz w:val="16"/>
          <w:szCs w:val="16"/>
          <w:i w:val="1"/>
          <w:iCs w:val="1"/>
          <w:color w:val="auto"/>
        </w:rPr>
        <w:t xml:space="preserve">. </w:t>
      </w:r>
      <w:r>
        <w:rPr>
          <w:rFonts w:ascii="Arial" w:cs="Arial" w:eastAsia="Arial" w:hAnsi="Arial"/>
          <w:sz w:val="16"/>
          <w:szCs w:val="16"/>
          <w:color w:val="auto"/>
        </w:rPr>
        <w:t>Cash, cash equivalents and restricted cash and cash equivalents increased from $68.7 billion as of December 31, 2023</w:t>
      </w:r>
      <w:r>
        <w:rPr>
          <w:rFonts w:ascii="Arial" w:cs="Arial" w:eastAsia="Arial" w:hAnsi="Arial"/>
          <w:sz w:val="16"/>
          <w:szCs w:val="16"/>
          <w:i w:val="1"/>
          <w:iCs w:val="1"/>
          <w:color w:val="auto"/>
        </w:rPr>
        <w:t xml:space="preserve"> </w:t>
      </w:r>
      <w:r>
        <w:rPr>
          <w:rFonts w:ascii="Arial" w:cs="Arial" w:eastAsia="Arial" w:hAnsi="Arial"/>
          <w:sz w:val="16"/>
          <w:szCs w:val="16"/>
          <w:color w:val="auto"/>
        </w:rPr>
        <w:t>to $78.3 billion as of June 30, 2024. The increase was primarily driven by cash inflows from (1) proceeds from repayments of loans, (2) the sale of Fannie Mae MBS to third parties, and (3) investments in securities purchased under agreements to resell.</w:t>
      </w:r>
    </w:p>
    <w:p>
      <w:pPr>
        <w:spacing w:after="0" w:line="32"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Partially offsetting these cash inflows were cash outflows from (1) payments on outstanding debt of consolidated trusts, (2) purchases of loans held for investment, and (3) advances to lenders.</w:t>
      </w:r>
    </w:p>
    <w:p>
      <w:pPr>
        <w:spacing w:after="0" w:line="28" w:lineRule="exact"/>
        <w:rPr>
          <w:sz w:val="20"/>
          <w:szCs w:val="20"/>
          <w:color w:val="auto"/>
        </w:rPr>
      </w:pPr>
    </w:p>
    <w:p>
      <w:pPr>
        <w:jc w:val="both"/>
        <w:ind w:right="80"/>
        <w:spacing w:after="0" w:line="272" w:lineRule="auto"/>
        <w:rPr>
          <w:sz w:val="20"/>
          <w:szCs w:val="20"/>
          <w:color w:val="auto"/>
        </w:rPr>
      </w:pPr>
      <w:r>
        <w:rPr>
          <w:rFonts w:ascii="Arial" w:cs="Arial" w:eastAsia="Arial" w:hAnsi="Arial"/>
          <w:sz w:val="16"/>
          <w:szCs w:val="16"/>
          <w:i w:val="1"/>
          <w:iCs w:val="1"/>
          <w:u w:val="single" w:color="auto"/>
          <w:color w:val="auto"/>
        </w:rPr>
        <w:t>Six Months Ended June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Cash, cash equivalents and restricted cash and cash equivalents decreased from $87.8 billion as of December 31, 2022</w:t>
      </w:r>
      <w:r>
        <w:rPr>
          <w:rFonts w:ascii="Arial" w:cs="Arial" w:eastAsia="Arial" w:hAnsi="Arial"/>
          <w:sz w:val="16"/>
          <w:szCs w:val="16"/>
          <w:i w:val="1"/>
          <w:iCs w:val="1"/>
          <w:color w:val="auto"/>
        </w:rPr>
        <w:t xml:space="preserve"> </w:t>
      </w:r>
      <w:r>
        <w:rPr>
          <w:rFonts w:ascii="Arial" w:cs="Arial" w:eastAsia="Arial" w:hAnsi="Arial"/>
          <w:sz w:val="16"/>
          <w:szCs w:val="16"/>
          <w:color w:val="auto"/>
        </w:rPr>
        <w:t>to $79.4 billion as of June 30, 2023. The decrease was primarily driven by cash outflows from (1) payments on outstanding debt of consolidated trusts, (2) purchases of loans held for investment, and (3) advances to lenders.</w:t>
      </w:r>
    </w:p>
    <w:p>
      <w:pPr>
        <w:spacing w:after="0" w:line="32"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Partially offsetting these cash outflows were cash inflows from (1) proceeds from repayments and sales of loans, (2) the sale of Fannie Mae MBS to third parties, and (3) the issuances of funding debt, which outpaced redemptions.</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Credit Ratings</w:t>
      </w:r>
    </w:p>
    <w:p>
      <w:pPr>
        <w:spacing w:after="0" w:line="80"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As of June 30, 2024, our credit ratings issued by the three major credit rating agencies have not changed since December 31, 2023. For information on these credit ratings, see “MD&amp;A—Liquidity and Capital Management—Liquidity Management—Credit Ratings” in our 2023 Form 10-K.</w:t>
      </w:r>
    </w:p>
    <w:p>
      <w:pPr>
        <w:spacing w:after="0" w:line="11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Capital Management</w:t>
      </w:r>
    </w:p>
    <w:p>
      <w:pPr>
        <w:spacing w:after="0" w:line="11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Capital Requirements</w:t>
      </w:r>
    </w:p>
    <w:p>
      <w:pPr>
        <w:spacing w:after="0" w:line="67"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FHFA published a final rule in November 2023 amending several provisions of the enterprise regulatory capital framework, with most of the amendments becoming effective in April 2024. For a description of our capital requirements under the enterprise regulatory capital framework, including the amended provisions, see “Business—Legislation and Regulation—Capital Requirements” in our 2023 Form 10-K. Although the enterprise regulatory capital framework went into effect in February 2021, we are not required to hold capital according to the framework’s requirements until the date of termination of our conservatorship, or such later date as may be ordered by FHFA.</w:t>
      </w:r>
    </w:p>
    <w:p>
      <w:pPr>
        <w:spacing w:after="0" w:line="3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table below sets forth information about our capital requirements under the standardized approach of the enterprise regulatory capital framework. Available capital under the enterprise regulatory capital framework excludes the stated value of the senior preferred stock ($120.8 billion) and other specified amounts in the table below. As a result of these exclusions, we had a deficit in available capital as of June 30, 2024, despite having a positive net worth under accounting principles generally accepted in the United States of America (“GAAP”).</w:t>
      </w:r>
    </w:p>
    <w:p>
      <w:pPr>
        <w:spacing w:after="0" w:line="33"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had a $229 billion shortfall of our available capital (deficit) to the adjusted total capital requirement (including buffers) of $184 billion under the standardized approach of the enterprise regulatory capital framework as of June 30, 2024. Our capital shortfall declined by $14 billion from December 31, 2023 to June 30, 2024, primarily as a result of the increase in our retained earnings during the first half of 2024 and the impact of the amendments to the enterprise regulatory capital framework that became effective in April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2" w:name="page53"/>
    <w:bookmarkEnd w:id="52"/>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June 30, 2024</w:t>
      </w:r>
      <w:r>
        <w:rPr>
          <w:rFonts w:ascii="Arial" w:cs="Arial" w:eastAsia="Arial" w:hAnsi="Arial"/>
          <w:sz w:val="24"/>
          <w:szCs w:val="24"/>
          <w:b w:val="1"/>
          <w:bCs w:val="1"/>
          <w:color w:val="05314D"/>
          <w:vertAlign w:val="superscript"/>
        </w:rPr>
        <w:t>(1)</w:t>
      </w:r>
    </w:p>
    <w:tbl>
      <w:tblPr>
        <w:tblLayout w:type="fixed"/>
        <w:tblInd w:w="0" w:type="dxa"/>
        <w:tblCellMar>
          <w:top w:w="0" w:type="dxa"/>
          <w:left w:w="0" w:type="dxa"/>
          <w:bottom w:w="0" w:type="dxa"/>
          <w:right w:w="0" w:type="dxa"/>
        </w:tblCellMar>
      </w:tblPr>
      <w:tr>
        <w:trPr>
          <w:trHeight w:val="198"/>
        </w:trPr>
        <w:tc>
          <w:tcPr>
            <w:tcW w:w="2960" w:type="dxa"/>
            <w:vAlign w:val="bottom"/>
            <w:tcBorders>
              <w:top w:val="single" w:sz="8" w:color="2C6937"/>
            </w:tcBorders>
          </w:tcPr>
          <w:p>
            <w:pPr>
              <w:spacing w:after="0"/>
              <w:rPr>
                <w:sz w:val="17"/>
                <w:szCs w:val="17"/>
                <w:color w:val="auto"/>
              </w:rPr>
            </w:pPr>
          </w:p>
        </w:tc>
        <w:tc>
          <w:tcPr>
            <w:tcW w:w="150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6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80" w:type="dxa"/>
            <w:vAlign w:val="bottom"/>
            <w:tcBorders>
              <w:top w:val="single" w:sz="8" w:color="2C6937"/>
            </w:tcBorders>
          </w:tcPr>
          <w:p>
            <w:pPr>
              <w:spacing w:after="0"/>
              <w:rPr>
                <w:sz w:val="17"/>
                <w:szCs w:val="17"/>
                <w:color w:val="auto"/>
              </w:rPr>
            </w:pPr>
          </w:p>
        </w:tc>
        <w:tc>
          <w:tcPr>
            <w:tcW w:w="2320" w:type="dxa"/>
            <w:vAlign w:val="bottom"/>
            <w:tcBorders>
              <w:top w:val="single" w:sz="8" w:color="2C6937"/>
            </w:tcBorders>
            <w:gridSpan w:val="6"/>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980" w:type="dxa"/>
            <w:vAlign w:val="bottom"/>
            <w:tcBorders>
              <w:top w:val="single" w:sz="8" w:color="2C6937"/>
            </w:tcBorders>
          </w:tcPr>
          <w:p>
            <w:pPr>
              <w:spacing w:after="0"/>
              <w:rPr>
                <w:sz w:val="17"/>
                <w:szCs w:val="17"/>
                <w:color w:val="auto"/>
              </w:rPr>
            </w:pPr>
          </w:p>
        </w:tc>
        <w:tc>
          <w:tcPr>
            <w:tcW w:w="34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200" w:type="dxa"/>
            <w:vAlign w:val="bottom"/>
            <w:tcBorders>
              <w:top w:val="single" w:sz="8" w:color="2C6937"/>
            </w:tcBorders>
          </w:tcPr>
          <w:p>
            <w:pPr>
              <w:spacing w:after="0"/>
              <w:rPr>
                <w:sz w:val="17"/>
                <w:szCs w:val="17"/>
                <w:color w:val="auto"/>
              </w:rPr>
            </w:pPr>
          </w:p>
        </w:tc>
        <w:tc>
          <w:tcPr>
            <w:tcW w:w="940" w:type="dxa"/>
            <w:vAlign w:val="bottom"/>
            <w:tcBorders>
              <w:top w:val="single" w:sz="8" w:color="2C6937"/>
            </w:tcBorders>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20" w:type="dxa"/>
            <w:vAlign w:val="bottom"/>
            <w:tcBorders>
              <w:top w:val="single" w:sz="8" w:color="2C6937"/>
            </w:tcBorders>
          </w:tcPr>
          <w:p>
            <w:pPr>
              <w:spacing w:after="0"/>
              <w:rPr>
                <w:sz w:val="17"/>
                <w:szCs w:val="17"/>
                <w:color w:val="auto"/>
              </w:rPr>
            </w:pPr>
          </w:p>
        </w:tc>
        <w:tc>
          <w:tcPr>
            <w:tcW w:w="60" w:type="dxa"/>
            <w:vAlign w:val="bottom"/>
            <w:tcBorders>
              <w:top w:val="single" w:sz="8" w:color="2C6937"/>
            </w:tcBorders>
          </w:tcPr>
          <w:p>
            <w:pPr>
              <w:spacing w:after="0"/>
              <w:rPr>
                <w:sz w:val="17"/>
                <w:szCs w:val="17"/>
                <w:color w:val="auto"/>
              </w:rPr>
            </w:pPr>
          </w:p>
        </w:tc>
        <w:tc>
          <w:tcPr>
            <w:tcW w:w="500" w:type="dxa"/>
            <w:vAlign w:val="bottom"/>
            <w:tcBorders>
              <w:top w:val="single" w:sz="8" w:color="2C6937"/>
            </w:tcBorders>
          </w:tcPr>
          <w:p>
            <w:pPr>
              <w:spacing w:after="0"/>
              <w:rPr>
                <w:sz w:val="17"/>
                <w:szCs w:val="17"/>
                <w:color w:val="auto"/>
              </w:rPr>
            </w:pPr>
          </w:p>
        </w:tc>
        <w:tc>
          <w:tcPr>
            <w:tcW w:w="76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3"/>
          </w:tcPr>
          <w:p>
            <w:pPr>
              <w:ind w:left="220"/>
              <w:spacing w:after="0"/>
              <w:rPr>
                <w:sz w:val="20"/>
                <w:szCs w:val="20"/>
                <w:color w:val="auto"/>
              </w:rPr>
            </w:pPr>
            <w:r>
              <w:rPr>
                <w:rFonts w:ascii="Arial" w:cs="Arial" w:eastAsia="Arial" w:hAnsi="Arial"/>
                <w:sz w:val="15"/>
                <w:szCs w:val="15"/>
                <w:color w:val="auto"/>
              </w:rPr>
              <w:t>$</w:t>
            </w:r>
          </w:p>
        </w:tc>
        <w:tc>
          <w:tcPr>
            <w:tcW w:w="1160" w:type="dxa"/>
            <w:vAlign w:val="bottom"/>
            <w:gridSpan w:val="3"/>
          </w:tcPr>
          <w:p>
            <w:pPr>
              <w:jc w:val="right"/>
              <w:ind w:right="80"/>
              <w:spacing w:after="0"/>
              <w:rPr>
                <w:sz w:val="20"/>
                <w:szCs w:val="20"/>
                <w:color w:val="auto"/>
              </w:rPr>
            </w:pPr>
            <w:r>
              <w:rPr>
                <w:rFonts w:ascii="Arial" w:cs="Arial" w:eastAsia="Arial" w:hAnsi="Arial"/>
                <w:sz w:val="15"/>
                <w:szCs w:val="15"/>
                <w:color w:val="auto"/>
              </w:rPr>
              <w:t>4,439</w:t>
            </w:r>
          </w:p>
        </w:tc>
        <w:tc>
          <w:tcPr>
            <w:tcW w:w="140" w:type="dxa"/>
            <w:vAlign w:val="bottom"/>
          </w:tcPr>
          <w:p>
            <w:pPr>
              <w:spacing w:after="0"/>
              <w:rPr>
                <w:sz w:val="17"/>
                <w:szCs w:val="17"/>
                <w:color w:val="auto"/>
              </w:rPr>
            </w:pPr>
          </w:p>
        </w:tc>
        <w:tc>
          <w:tcPr>
            <w:tcW w:w="2000" w:type="dxa"/>
            <w:vAlign w:val="bottom"/>
            <w:gridSpan w:val="3"/>
          </w:tcPr>
          <w:p>
            <w:pPr>
              <w:ind w:left="20"/>
              <w:spacing w:after="0"/>
              <w:rPr>
                <w:sz w:val="20"/>
                <w:szCs w:val="20"/>
                <w:color w:val="auto"/>
              </w:rPr>
            </w:pPr>
            <w:r>
              <w:rPr>
                <w:rFonts w:ascii="Arial" w:cs="Arial" w:eastAsia="Arial" w:hAnsi="Arial"/>
                <w:sz w:val="15"/>
                <w:szCs w:val="15"/>
                <w:color w:val="auto"/>
              </w:rPr>
              <w:t>Stress capital buffer</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jc w:val="right"/>
              <w:ind w:right="391"/>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6"/>
        </w:trPr>
        <w:tc>
          <w:tcPr>
            <w:tcW w:w="4540" w:type="dxa"/>
            <w:vAlign w:val="bottom"/>
            <w:gridSpan w:val="3"/>
          </w:tcPr>
          <w:p>
            <w:pPr>
              <w:ind w:left="20"/>
              <w:spacing w:after="0"/>
              <w:rPr>
                <w:sz w:val="20"/>
                <w:szCs w:val="20"/>
                <w:color w:val="auto"/>
              </w:rPr>
            </w:pPr>
            <w:r>
              <w:rPr>
                <w:rFonts w:ascii="Arial" w:cs="Arial" w:eastAsia="Arial" w:hAnsi="Arial"/>
                <w:sz w:val="15"/>
                <w:szCs w:val="15"/>
                <w:color w:val="auto"/>
              </w:rPr>
              <w:t>Risk-weighted assets (standardized approach):</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3"/>
          </w:tcPr>
          <w:p>
            <w:pPr>
              <w:ind w:left="20"/>
              <w:spacing w:after="0"/>
              <w:rPr>
                <w:sz w:val="20"/>
                <w:szCs w:val="20"/>
                <w:color w:val="auto"/>
              </w:rPr>
            </w:pPr>
            <w:r>
              <w:rPr>
                <w:rFonts w:ascii="Arial" w:cs="Arial" w:eastAsia="Arial" w:hAnsi="Arial"/>
                <w:sz w:val="15"/>
                <w:szCs w:val="15"/>
                <w:color w:val="auto"/>
              </w:rPr>
              <w:t>Stability capital buffer</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6"/>
        </w:trPr>
        <w:tc>
          <w:tcPr>
            <w:tcW w:w="2960" w:type="dxa"/>
            <w:vAlign w:val="bottom"/>
          </w:tcPr>
          <w:p>
            <w:pPr>
              <w:ind w:left="120"/>
              <w:spacing w:after="0"/>
              <w:rPr>
                <w:sz w:val="20"/>
                <w:szCs w:val="20"/>
                <w:color w:val="auto"/>
              </w:rPr>
            </w:pPr>
            <w:r>
              <w:rPr>
                <w:rFonts w:ascii="Arial" w:cs="Arial" w:eastAsia="Arial" w:hAnsi="Arial"/>
                <w:sz w:val="15"/>
                <w:szCs w:val="15"/>
                <w:color w:val="auto"/>
              </w:rPr>
              <w:t>Credit risk</w:t>
            </w: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3"/>
          </w:tcPr>
          <w:p>
            <w:pPr>
              <w:ind w:left="220"/>
              <w:spacing w:after="0"/>
              <w:rPr>
                <w:sz w:val="20"/>
                <w:szCs w:val="20"/>
                <w:color w:val="auto"/>
              </w:rPr>
            </w:pPr>
            <w:r>
              <w:rPr>
                <w:rFonts w:ascii="Arial" w:cs="Arial" w:eastAsia="Arial" w:hAnsi="Arial"/>
                <w:sz w:val="15"/>
                <w:szCs w:val="15"/>
                <w:color w:val="auto"/>
              </w:rPr>
              <w:t>$</w:t>
            </w:r>
          </w:p>
        </w:tc>
        <w:tc>
          <w:tcPr>
            <w:tcW w:w="1160" w:type="dxa"/>
            <w:vAlign w:val="bottom"/>
            <w:gridSpan w:val="3"/>
          </w:tcPr>
          <w:p>
            <w:pPr>
              <w:jc w:val="right"/>
              <w:ind w:right="80"/>
              <w:spacing w:after="0"/>
              <w:rPr>
                <w:sz w:val="20"/>
                <w:szCs w:val="20"/>
                <w:color w:val="auto"/>
              </w:rPr>
            </w:pPr>
            <w:r>
              <w:rPr>
                <w:rFonts w:ascii="Arial" w:cs="Arial" w:eastAsia="Arial" w:hAnsi="Arial"/>
                <w:sz w:val="15"/>
                <w:szCs w:val="15"/>
                <w:color w:val="auto"/>
              </w:rPr>
              <w:t>1,165</w:t>
            </w:r>
          </w:p>
        </w:tc>
        <w:tc>
          <w:tcPr>
            <w:tcW w:w="140" w:type="dxa"/>
            <w:vAlign w:val="bottom"/>
          </w:tcPr>
          <w:p>
            <w:pPr>
              <w:spacing w:after="0"/>
              <w:rPr>
                <w:sz w:val="17"/>
                <w:szCs w:val="17"/>
                <w:color w:val="auto"/>
              </w:rPr>
            </w:pPr>
          </w:p>
        </w:tc>
        <w:tc>
          <w:tcPr>
            <w:tcW w:w="2000" w:type="dxa"/>
            <w:vAlign w:val="bottom"/>
            <w:tcBorders>
              <w:bottom w:val="single" w:sz="8" w:color="2C6937"/>
            </w:tcBorders>
            <w:gridSpan w:val="3"/>
          </w:tcPr>
          <w:p>
            <w:pPr>
              <w:ind w:left="20"/>
              <w:spacing w:after="0"/>
              <w:rPr>
                <w:sz w:val="20"/>
                <w:szCs w:val="20"/>
                <w:color w:val="auto"/>
              </w:rPr>
            </w:pPr>
            <w:r>
              <w:rPr>
                <w:rFonts w:ascii="Arial" w:cs="Arial" w:eastAsia="Arial" w:hAnsi="Arial"/>
                <w:sz w:val="15"/>
                <w:szCs w:val="15"/>
                <w:color w:val="auto"/>
              </w:rPr>
              <w:t>Countercyclical capital buffer</w:t>
            </w:r>
          </w:p>
        </w:tc>
        <w:tc>
          <w:tcPr>
            <w:tcW w:w="3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5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2960" w:type="dxa"/>
            <w:vAlign w:val="bottom"/>
          </w:tcPr>
          <w:p>
            <w:pPr>
              <w:ind w:left="120"/>
              <w:spacing w:after="0"/>
              <w:rPr>
                <w:sz w:val="20"/>
                <w:szCs w:val="20"/>
                <w:color w:val="auto"/>
              </w:rPr>
            </w:pPr>
            <w:r>
              <w:rPr>
                <w:rFonts w:ascii="Arial" w:cs="Arial" w:eastAsia="Arial" w:hAnsi="Arial"/>
                <w:sz w:val="15"/>
                <w:szCs w:val="15"/>
                <w:color w:val="auto"/>
              </w:rPr>
              <w:t>Market risk</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27</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960" w:type="dxa"/>
            <w:vAlign w:val="bottom"/>
          </w:tcPr>
          <w:p>
            <w:pPr>
              <w:ind w:left="120"/>
              <w:spacing w:after="0"/>
              <w:rPr>
                <w:sz w:val="20"/>
                <w:szCs w:val="20"/>
                <w:color w:val="auto"/>
              </w:rPr>
            </w:pPr>
            <w:r>
              <w:rPr>
                <w:rFonts w:ascii="Arial" w:cs="Arial" w:eastAsia="Arial" w:hAnsi="Arial"/>
                <w:sz w:val="15"/>
                <w:szCs w:val="15"/>
                <w:color w:val="auto"/>
              </w:rPr>
              <w:t>Operational risk</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83</w:t>
            </w:r>
          </w:p>
        </w:tc>
        <w:tc>
          <w:tcPr>
            <w:tcW w:w="140" w:type="dxa"/>
            <w:vAlign w:val="bottom"/>
          </w:tcPr>
          <w:p>
            <w:pPr>
              <w:spacing w:after="0"/>
              <w:rPr>
                <w:sz w:val="19"/>
                <w:szCs w:val="19"/>
                <w:color w:val="auto"/>
              </w:rPr>
            </w:pPr>
          </w:p>
        </w:tc>
        <w:tc>
          <w:tcPr>
            <w:tcW w:w="3700" w:type="dxa"/>
            <w:vAlign w:val="bottom"/>
            <w:gridSpan w:val="9"/>
          </w:tcPr>
          <w:p>
            <w:pPr>
              <w:ind w:left="20"/>
              <w:spacing w:after="0"/>
              <w:rPr>
                <w:sz w:val="20"/>
                <w:szCs w:val="20"/>
                <w:color w:val="auto"/>
              </w:rPr>
            </w:pPr>
            <w:r>
              <w:rPr>
                <w:rFonts w:ascii="Arial" w:cs="Arial" w:eastAsia="Arial" w:hAnsi="Arial"/>
                <w:sz w:val="15"/>
                <w:szCs w:val="15"/>
                <w:b w:val="1"/>
                <w:bCs w:val="1"/>
                <w:color w:val="auto"/>
              </w:rPr>
              <w:t>Prescribed capital conservation buffer amount</w:t>
            </w:r>
          </w:p>
        </w:tc>
        <w:tc>
          <w:tcPr>
            <w:tcW w:w="560" w:type="dxa"/>
            <w:vAlign w:val="bottom"/>
            <w:gridSpan w:val="2"/>
          </w:tcPr>
          <w:p>
            <w:pPr>
              <w:jc w:val="right"/>
              <w:ind w:right="391"/>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40"/>
        </w:trPr>
        <w:tc>
          <w:tcPr>
            <w:tcW w:w="2960" w:type="dxa"/>
            <w:vAlign w:val="bottom"/>
            <w:tcBorders>
              <w:bottom w:val="single" w:sz="8" w:color="2C6937"/>
            </w:tcBorders>
          </w:tcPr>
          <w:p>
            <w:pPr>
              <w:spacing w:after="0"/>
              <w:rPr>
                <w:sz w:val="3"/>
                <w:szCs w:val="3"/>
                <w:color w:val="auto"/>
              </w:rPr>
            </w:pPr>
          </w:p>
        </w:tc>
        <w:tc>
          <w:tcPr>
            <w:tcW w:w="1500" w:type="dxa"/>
            <w:vAlign w:val="bottom"/>
            <w:tcBorders>
              <w:bottom w:val="single" w:sz="8" w:color="2C6937"/>
            </w:tcBorders>
          </w:tcPr>
          <w:p>
            <w:pPr>
              <w:spacing w:after="0"/>
              <w:rPr>
                <w:sz w:val="3"/>
                <w:szCs w:val="3"/>
                <w:color w:val="auto"/>
              </w:rPr>
            </w:pPr>
          </w:p>
        </w:tc>
        <w:tc>
          <w:tcPr>
            <w:tcW w:w="80" w:type="dxa"/>
            <w:vAlign w:val="bottom"/>
            <w:tcBorders>
              <w:bottom w:val="single" w:sz="8" w:color="2C6937"/>
            </w:tcBorders>
          </w:tcPr>
          <w:p>
            <w:pPr>
              <w:spacing w:after="0"/>
              <w:rPr>
                <w:sz w:val="3"/>
                <w:szCs w:val="3"/>
                <w:color w:val="auto"/>
              </w:rPr>
            </w:pPr>
          </w:p>
        </w:tc>
        <w:tc>
          <w:tcPr>
            <w:tcW w:w="60" w:type="dxa"/>
            <w:vAlign w:val="bottom"/>
            <w:tcBorders>
              <w:bottom w:val="single" w:sz="8" w:color="2C6937"/>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880" w:type="dxa"/>
            <w:vAlign w:val="bottom"/>
            <w:tcBorders>
              <w:bottom w:val="single" w:sz="8" w:color="2C6937"/>
            </w:tcBorders>
          </w:tcPr>
          <w:p>
            <w:pPr>
              <w:spacing w:after="0"/>
              <w:rPr>
                <w:sz w:val="3"/>
                <w:szCs w:val="3"/>
                <w:color w:val="auto"/>
              </w:rPr>
            </w:pPr>
          </w:p>
        </w:tc>
        <w:tc>
          <w:tcPr>
            <w:tcW w:w="100" w:type="dxa"/>
            <w:vAlign w:val="bottom"/>
            <w:tcBorders>
              <w:bottom w:val="single" w:sz="8" w:color="2C6937"/>
            </w:tcBorders>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Borders>
              <w:top w:val="single" w:sz="8" w:color="2C6937"/>
              <w:bottom w:val="single" w:sz="8" w:color="2C6937"/>
            </w:tcBorders>
          </w:tcPr>
          <w:p>
            <w:pPr>
              <w:spacing w:after="0"/>
              <w:rPr>
                <w:sz w:val="3"/>
                <w:szCs w:val="3"/>
                <w:color w:val="auto"/>
              </w:rPr>
            </w:pPr>
          </w:p>
        </w:tc>
        <w:tc>
          <w:tcPr>
            <w:tcW w:w="80" w:type="dxa"/>
            <w:vAlign w:val="bottom"/>
            <w:tcBorders>
              <w:top w:val="single" w:sz="8" w:color="2C6937"/>
              <w:bottom w:val="single" w:sz="8" w:color="2C6937"/>
            </w:tcBorders>
          </w:tcPr>
          <w:p>
            <w:pPr>
              <w:spacing w:after="0"/>
              <w:rPr>
                <w:sz w:val="3"/>
                <w:szCs w:val="3"/>
                <w:color w:val="auto"/>
              </w:rPr>
            </w:pPr>
          </w:p>
        </w:tc>
        <w:tc>
          <w:tcPr>
            <w:tcW w:w="980" w:type="dxa"/>
            <w:vAlign w:val="bottom"/>
            <w:tcBorders>
              <w:top w:val="single" w:sz="8" w:color="2C6937"/>
              <w:bottom w:val="single" w:sz="8" w:color="2C6937"/>
            </w:tcBorders>
          </w:tcPr>
          <w:p>
            <w:pPr>
              <w:spacing w:after="0"/>
              <w:rPr>
                <w:sz w:val="3"/>
                <w:szCs w:val="3"/>
                <w:color w:val="auto"/>
              </w:rPr>
            </w:pPr>
          </w:p>
        </w:tc>
        <w:tc>
          <w:tcPr>
            <w:tcW w:w="340" w:type="dxa"/>
            <w:vAlign w:val="bottom"/>
            <w:tcBorders>
              <w:top w:val="single" w:sz="8" w:color="2C6937"/>
              <w:bottom w:val="single" w:sz="8" w:color="2C6937"/>
            </w:tcBorders>
          </w:tcPr>
          <w:p>
            <w:pPr>
              <w:spacing w:after="0"/>
              <w:rPr>
                <w:sz w:val="3"/>
                <w:szCs w:val="3"/>
                <w:color w:val="auto"/>
              </w:rPr>
            </w:pPr>
          </w:p>
        </w:tc>
        <w:tc>
          <w:tcPr>
            <w:tcW w:w="80" w:type="dxa"/>
            <w:vAlign w:val="bottom"/>
            <w:tcBorders>
              <w:top w:val="single" w:sz="8" w:color="2C6937"/>
              <w:bottom w:val="single" w:sz="8" w:color="2C6937"/>
            </w:tcBorders>
          </w:tcPr>
          <w:p>
            <w:pPr>
              <w:spacing w:after="0"/>
              <w:rPr>
                <w:sz w:val="3"/>
                <w:szCs w:val="3"/>
                <w:color w:val="auto"/>
              </w:rPr>
            </w:pPr>
          </w:p>
        </w:tc>
        <w:tc>
          <w:tcPr>
            <w:tcW w:w="200" w:type="dxa"/>
            <w:vAlign w:val="bottom"/>
            <w:tcBorders>
              <w:top w:val="single" w:sz="8" w:color="2C6937"/>
              <w:bottom w:val="single" w:sz="8" w:color="2C6937"/>
            </w:tcBorders>
          </w:tcPr>
          <w:p>
            <w:pPr>
              <w:spacing w:after="0"/>
              <w:rPr>
                <w:sz w:val="3"/>
                <w:szCs w:val="3"/>
                <w:color w:val="auto"/>
              </w:rPr>
            </w:pPr>
          </w:p>
        </w:tc>
        <w:tc>
          <w:tcPr>
            <w:tcW w:w="940" w:type="dxa"/>
            <w:vAlign w:val="bottom"/>
            <w:tcBorders>
              <w:top w:val="single" w:sz="8" w:color="2C6937"/>
              <w:bottom w:val="single" w:sz="8" w:color="2C6937"/>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top w:val="single" w:sz="8" w:color="2C6937"/>
              <w:bottom w:val="single" w:sz="8" w:color="2C6937"/>
            </w:tcBorders>
          </w:tcPr>
          <w:p>
            <w:pPr>
              <w:spacing w:after="0"/>
              <w:rPr>
                <w:sz w:val="3"/>
                <w:szCs w:val="3"/>
                <w:color w:val="auto"/>
              </w:rPr>
            </w:pPr>
          </w:p>
        </w:tc>
        <w:tc>
          <w:tcPr>
            <w:tcW w:w="500" w:type="dxa"/>
            <w:vAlign w:val="bottom"/>
            <w:tcBorders>
              <w:top w:val="single" w:sz="8" w:color="2C6937"/>
              <w:bottom w:val="single" w:sz="8" w:color="2C6937"/>
            </w:tcBorders>
          </w:tcPr>
          <w:p>
            <w:pPr>
              <w:spacing w:after="0"/>
              <w:rPr>
                <w:sz w:val="3"/>
                <w:szCs w:val="3"/>
                <w:color w:val="auto"/>
              </w:rPr>
            </w:pPr>
          </w:p>
        </w:tc>
        <w:tc>
          <w:tcPr>
            <w:tcW w:w="760" w:type="dxa"/>
            <w:vAlign w:val="bottom"/>
            <w:tcBorders>
              <w:top w:val="single" w:sz="8" w:color="2C6937"/>
              <w:bottom w:val="single" w:sz="8" w:color="2C6937"/>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96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Total risk-weighted assets</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3"/>
          </w:tcPr>
          <w:p>
            <w:pPr>
              <w:ind w:left="220"/>
              <w:spacing w:after="0" w:line="165" w:lineRule="exact"/>
              <w:rPr>
                <w:sz w:val="20"/>
                <w:szCs w:val="20"/>
                <w:color w:val="auto"/>
              </w:rPr>
            </w:pPr>
            <w:r>
              <w:rPr>
                <w:rFonts w:ascii="Arial" w:cs="Arial" w:eastAsia="Arial" w:hAnsi="Arial"/>
                <w:sz w:val="15"/>
                <w:szCs w:val="15"/>
                <w:color w:val="auto"/>
              </w:rPr>
              <w:t>$</w:t>
            </w:r>
          </w:p>
        </w:tc>
        <w:tc>
          <w:tcPr>
            <w:tcW w:w="1160" w:type="dxa"/>
            <w:vAlign w:val="bottom"/>
            <w:gridSpan w:val="3"/>
          </w:tcPr>
          <w:p>
            <w:pPr>
              <w:jc w:val="right"/>
              <w:ind w:right="80"/>
              <w:spacing w:after="0" w:line="165" w:lineRule="exact"/>
              <w:rPr>
                <w:sz w:val="20"/>
                <w:szCs w:val="20"/>
                <w:color w:val="auto"/>
              </w:rPr>
            </w:pPr>
            <w:r>
              <w:rPr>
                <w:rFonts w:ascii="Arial" w:cs="Arial" w:eastAsia="Arial" w:hAnsi="Arial"/>
                <w:sz w:val="15"/>
                <w:szCs w:val="15"/>
                <w:color w:val="auto"/>
              </w:rPr>
              <w:t>1,275</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 Capital</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2C6937"/>
              <w:bottom w:val="single" w:sz="8" w:color="2C6937"/>
            </w:tcBorders>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960" w:type="dxa"/>
            <w:vAlign w:val="bottom"/>
          </w:tcPr>
          <w:p>
            <w:pPr>
              <w:spacing w:after="0"/>
              <w:rPr>
                <w:sz w:val="13"/>
                <w:szCs w:val="13"/>
                <w:color w:val="auto"/>
              </w:rPr>
            </w:pPr>
          </w:p>
        </w:tc>
        <w:tc>
          <w:tcPr>
            <w:tcW w:w="158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Minimum Capital</w:t>
            </w:r>
          </w:p>
        </w:tc>
        <w:tc>
          <w:tcPr>
            <w:tcW w:w="60" w:type="dxa"/>
            <w:vAlign w:val="bottom"/>
          </w:tcPr>
          <w:p>
            <w:pPr>
              <w:spacing w:after="0"/>
              <w:rPr>
                <w:sz w:val="13"/>
                <w:szCs w:val="13"/>
                <w:color w:val="auto"/>
              </w:rPr>
            </w:pPr>
          </w:p>
        </w:tc>
        <w:tc>
          <w:tcPr>
            <w:tcW w:w="1200" w:type="dxa"/>
            <w:vAlign w:val="bottom"/>
            <w:gridSpan w:val="3"/>
          </w:tcPr>
          <w:p>
            <w:pPr>
              <w:jc w:val="right"/>
              <w:ind w:right="4"/>
              <w:spacing w:after="0" w:line="155" w:lineRule="exact"/>
              <w:rPr>
                <w:sz w:val="20"/>
                <w:szCs w:val="20"/>
                <w:color w:val="auto"/>
              </w:rPr>
            </w:pPr>
            <w:r>
              <w:rPr>
                <w:rFonts w:ascii="Arial" w:cs="Arial" w:eastAsia="Arial" w:hAnsi="Arial"/>
                <w:sz w:val="14"/>
                <w:szCs w:val="14"/>
                <w:b w:val="1"/>
                <w:bCs w:val="1"/>
                <w:color w:val="auto"/>
                <w:w w:val="98"/>
              </w:rPr>
              <w:t>Minimum Capital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Applicable</w:t>
            </w:r>
          </w:p>
        </w:tc>
        <w:tc>
          <w:tcPr>
            <w:tcW w:w="140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Requirement</w:t>
            </w:r>
          </w:p>
        </w:tc>
        <w:tc>
          <w:tcPr>
            <w:tcW w:w="1280" w:type="dxa"/>
            <w:vAlign w:val="bottom"/>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8"/>
              </w:rPr>
              <w:t>Available Capital</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Ratio Requirement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Requirement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Buffers</w:t>
            </w:r>
            <w:r>
              <w:rPr>
                <w:rFonts w:ascii="Arial" w:cs="Arial" w:eastAsia="Arial" w:hAnsi="Arial"/>
                <w:sz w:val="8"/>
                <w:szCs w:val="8"/>
                <w:b w:val="1"/>
                <w:bCs w:val="1"/>
                <w:color w:val="auto"/>
              </w:rPr>
              <w:t>(2)</w:t>
            </w: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9"/>
              </w:rPr>
              <w:t>(including Buffers)</w:t>
            </w:r>
          </w:p>
        </w:tc>
        <w:tc>
          <w:tcPr>
            <w:tcW w:w="20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(Deficit)</w:t>
            </w:r>
            <w:r>
              <w:rPr>
                <w:rFonts w:ascii="Arial" w:cs="Arial" w:eastAsia="Arial" w:hAnsi="Arial"/>
                <w:sz w:val="8"/>
                <w:szCs w:val="8"/>
                <w:b w:val="1"/>
                <w:bCs w:val="1"/>
                <w:color w:val="auto"/>
              </w:rPr>
              <w:t>(3)</w:t>
            </w:r>
          </w:p>
        </w:tc>
        <w:tc>
          <w:tcPr>
            <w:tcW w:w="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Capital Shortfall</w:t>
            </w:r>
            <w:r>
              <w:rPr>
                <w:rFonts w:ascii="Arial" w:cs="Arial" w:eastAsia="Arial" w:hAnsi="Arial"/>
                <w:sz w:val="17"/>
                <w:szCs w:val="17"/>
                <w:b w:val="1"/>
                <w:bCs w:val="1"/>
                <w:color w:val="auto"/>
                <w:w w:val="98"/>
                <w:vertAlign w:val="superscript"/>
              </w:rPr>
              <w:t>(4)</w:t>
            </w:r>
          </w:p>
        </w:tc>
        <w:tc>
          <w:tcPr>
            <w:tcW w:w="0" w:type="dxa"/>
            <w:vAlign w:val="bottom"/>
          </w:tcPr>
          <w:p>
            <w:pPr>
              <w:spacing w:after="0"/>
              <w:rPr>
                <w:sz w:val="1"/>
                <w:szCs w:val="1"/>
                <w:color w:val="auto"/>
              </w:rPr>
            </w:pPr>
          </w:p>
        </w:tc>
      </w:tr>
      <w:tr>
        <w:trPr>
          <w:trHeight w:val="176"/>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Risk-based capital:</w:t>
            </w:r>
          </w:p>
        </w:tc>
        <w:tc>
          <w:tcPr>
            <w:tcW w:w="1500" w:type="dxa"/>
            <w:vAlign w:val="bottom"/>
            <w:tcBorders>
              <w:top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2C6937"/>
            </w:tcBorders>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180" w:type="dxa"/>
            <w:vAlign w:val="bottom"/>
            <w:tcBorders>
              <w:top w:val="single" w:sz="8" w:color="2C6937"/>
            </w:tcBorders>
          </w:tcPr>
          <w:p>
            <w:pPr>
              <w:spacing w:after="0"/>
              <w:rPr>
                <w:sz w:val="15"/>
                <w:szCs w:val="15"/>
                <w:color w:val="auto"/>
              </w:rPr>
            </w:pPr>
          </w:p>
        </w:tc>
        <w:tc>
          <w:tcPr>
            <w:tcW w:w="880" w:type="dxa"/>
            <w:vAlign w:val="bottom"/>
            <w:tcBorders>
              <w:top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2C6937"/>
            </w:tcBorders>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40" w:type="dxa"/>
            <w:vAlign w:val="bottom"/>
            <w:tcBorders>
              <w:top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top w:val="single" w:sz="8" w:color="2C6937"/>
            </w:tcBorders>
          </w:tcPr>
          <w:p>
            <w:pPr>
              <w:spacing w:after="0"/>
              <w:rPr>
                <w:sz w:val="15"/>
                <w:szCs w:val="15"/>
                <w:color w:val="auto"/>
              </w:rPr>
            </w:pPr>
          </w:p>
        </w:tc>
        <w:tc>
          <w:tcPr>
            <w:tcW w:w="340" w:type="dxa"/>
            <w:vAlign w:val="bottom"/>
            <w:tcBorders>
              <w:top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2C6937"/>
            </w:tcBorders>
          </w:tcPr>
          <w:p>
            <w:pPr>
              <w:spacing w:after="0"/>
              <w:rPr>
                <w:sz w:val="15"/>
                <w:szCs w:val="15"/>
                <w:color w:val="auto"/>
              </w:rPr>
            </w:pPr>
          </w:p>
        </w:tc>
        <w:tc>
          <w:tcPr>
            <w:tcW w:w="940" w:type="dxa"/>
            <w:vAlign w:val="bottom"/>
            <w:tcBorders>
              <w:top w:val="single" w:sz="8" w:color="2C6937"/>
            </w:tcBorders>
          </w:tcPr>
          <w:p>
            <w:pPr>
              <w:spacing w:after="0"/>
              <w:rPr>
                <w:sz w:val="15"/>
                <w:szCs w:val="15"/>
                <w:color w:val="auto"/>
              </w:rPr>
            </w:pPr>
          </w:p>
        </w:tc>
        <w:tc>
          <w:tcPr>
            <w:tcW w:w="120" w:type="dxa"/>
            <w:vAlign w:val="bottom"/>
            <w:tcBorders>
              <w:top w:val="single" w:sz="8" w:color="2C6937"/>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Borders>
              <w:top w:val="single" w:sz="8" w:color="2C6937"/>
            </w:tcBorders>
          </w:tcPr>
          <w:p>
            <w:pPr>
              <w:spacing w:after="0"/>
              <w:rPr>
                <w:sz w:val="15"/>
                <w:szCs w:val="15"/>
                <w:color w:val="auto"/>
              </w:rPr>
            </w:pPr>
          </w:p>
        </w:tc>
        <w:tc>
          <w:tcPr>
            <w:tcW w:w="760" w:type="dxa"/>
            <w:vAlign w:val="bottom"/>
            <w:tcBorders>
              <w:top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960" w:type="dxa"/>
            <w:vAlign w:val="bottom"/>
          </w:tcPr>
          <w:p>
            <w:pPr>
              <w:ind w:left="240"/>
              <w:spacing w:after="0" w:line="218" w:lineRule="exact"/>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(5)</w:t>
            </w:r>
          </w:p>
        </w:tc>
        <w:tc>
          <w:tcPr>
            <w:tcW w:w="1500" w:type="dxa"/>
            <w:vAlign w:val="bottom"/>
          </w:tcPr>
          <w:p>
            <w:pPr>
              <w:ind w:left="108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18"/>
                <w:szCs w:val="18"/>
                <w:color w:val="auto"/>
              </w:rPr>
            </w:pPr>
          </w:p>
        </w:tc>
        <w:tc>
          <w:tcPr>
            <w:tcW w:w="200" w:type="dxa"/>
            <w:vAlign w:val="bottom"/>
            <w:gridSpan w:val="2"/>
          </w:tcPr>
          <w:p>
            <w:pPr>
              <w:jc w:val="right"/>
              <w:ind w:right="31"/>
              <w:spacing w:after="0"/>
              <w:rPr>
                <w:sz w:val="20"/>
                <w:szCs w:val="20"/>
                <w:color w:val="auto"/>
              </w:rPr>
            </w:pPr>
            <w:r>
              <w:rPr>
                <w:rFonts w:ascii="Arial" w:cs="Arial" w:eastAsia="Arial" w:hAnsi="Arial"/>
                <w:sz w:val="15"/>
                <w:szCs w:val="15"/>
                <w:color w:val="auto"/>
                <w:w w:val="95"/>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left="484"/>
              <w:spacing w:after="0"/>
              <w:rPr>
                <w:sz w:val="20"/>
                <w:szCs w:val="20"/>
                <w:color w:val="auto"/>
              </w:rPr>
            </w:pPr>
            <w:r>
              <w:rPr>
                <w:rFonts w:ascii="Arial" w:cs="Arial" w:eastAsia="Arial" w:hAnsi="Arial"/>
                <w:sz w:val="15"/>
                <w:szCs w:val="15"/>
                <w:color w:val="auto"/>
              </w:rPr>
              <w:t>N/A</w:t>
            </w:r>
          </w:p>
        </w:tc>
        <w:tc>
          <w:tcPr>
            <w:tcW w:w="980" w:type="dxa"/>
            <w:vAlign w:val="bottom"/>
          </w:tcPr>
          <w:p>
            <w:pPr>
              <w:jc w:val="right"/>
              <w:ind w:right="789"/>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102</w:t>
            </w:r>
          </w:p>
        </w:tc>
        <w:tc>
          <w:tcPr>
            <w:tcW w:w="80" w:type="dxa"/>
            <w:vAlign w:val="bottom"/>
          </w:tcPr>
          <w:p>
            <w:pPr>
              <w:spacing w:after="0"/>
              <w:rPr>
                <w:sz w:val="18"/>
                <w:szCs w:val="18"/>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auto"/>
              </w:rPr>
              <w:t>(26)</w:t>
            </w:r>
          </w:p>
        </w:tc>
        <w:tc>
          <w:tcPr>
            <w:tcW w:w="20" w:type="dxa"/>
            <w:vAlign w:val="bottom"/>
          </w:tcPr>
          <w:p>
            <w:pPr>
              <w:spacing w:after="0"/>
              <w:rPr>
                <w:sz w:val="18"/>
                <w:szCs w:val="18"/>
                <w:color w:val="auto"/>
              </w:rPr>
            </w:pPr>
          </w:p>
        </w:tc>
        <w:tc>
          <w:tcPr>
            <w:tcW w:w="560" w:type="dxa"/>
            <w:vAlign w:val="bottom"/>
            <w:gridSpan w:val="2"/>
          </w:tcPr>
          <w:p>
            <w:pPr>
              <w:jc w:val="right"/>
              <w:ind w:right="331"/>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204"/>
        </w:trPr>
        <w:tc>
          <w:tcPr>
            <w:tcW w:w="2960" w:type="dxa"/>
            <w:vAlign w:val="bottom"/>
          </w:tcPr>
          <w:p>
            <w:pPr>
              <w:ind w:left="240"/>
              <w:spacing w:after="0"/>
              <w:rPr>
                <w:sz w:val="20"/>
                <w:szCs w:val="20"/>
                <w:color w:val="auto"/>
              </w:rPr>
            </w:pPr>
            <w:r>
              <w:rPr>
                <w:rFonts w:ascii="Arial" w:cs="Arial" w:eastAsia="Arial" w:hAnsi="Arial"/>
                <w:sz w:val="15"/>
                <w:szCs w:val="15"/>
                <w:color w:val="auto"/>
              </w:rPr>
              <w:t>Common equity tier 1 capital</w:t>
            </w:r>
          </w:p>
        </w:tc>
        <w:tc>
          <w:tcPr>
            <w:tcW w:w="1500" w:type="dxa"/>
            <w:vAlign w:val="bottom"/>
          </w:tcPr>
          <w:p>
            <w:pPr>
              <w:ind w:left="108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57</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center"/>
              <w:ind w:left="684"/>
              <w:spacing w:after="0"/>
              <w:rPr>
                <w:sz w:val="20"/>
                <w:szCs w:val="20"/>
                <w:color w:val="auto"/>
              </w:rPr>
            </w:pPr>
            <w:r>
              <w:rPr>
                <w:rFonts w:ascii="Arial" w:cs="Arial" w:eastAsia="Arial" w:hAnsi="Arial"/>
                <w:sz w:val="15"/>
                <w:szCs w:val="15"/>
                <w:color w:val="auto"/>
                <w:w w:val="95"/>
              </w:rPr>
              <w:t>82</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139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auto"/>
              </w:rPr>
              <w:t>(65)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206"/>
        </w:trPr>
        <w:tc>
          <w:tcPr>
            <w:tcW w:w="2960" w:type="dxa"/>
            <w:vAlign w:val="bottom"/>
          </w:tcPr>
          <w:p>
            <w:pPr>
              <w:ind w:left="240"/>
              <w:spacing w:after="0"/>
              <w:rPr>
                <w:sz w:val="20"/>
                <w:szCs w:val="20"/>
                <w:color w:val="auto"/>
              </w:rPr>
            </w:pPr>
            <w:r>
              <w:rPr>
                <w:rFonts w:ascii="Arial" w:cs="Arial" w:eastAsia="Arial" w:hAnsi="Arial"/>
                <w:sz w:val="15"/>
                <w:szCs w:val="15"/>
                <w:color w:val="auto"/>
              </w:rPr>
              <w:t>Tier 1 capital</w:t>
            </w:r>
          </w:p>
        </w:tc>
        <w:tc>
          <w:tcPr>
            <w:tcW w:w="1500" w:type="dxa"/>
            <w:vAlign w:val="bottom"/>
          </w:tcPr>
          <w:p>
            <w:pPr>
              <w:ind w:left="108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left="684"/>
              <w:spacing w:after="0"/>
              <w:rPr>
                <w:sz w:val="20"/>
                <w:szCs w:val="20"/>
                <w:color w:val="auto"/>
              </w:rPr>
            </w:pPr>
            <w:r>
              <w:rPr>
                <w:rFonts w:ascii="Arial" w:cs="Arial" w:eastAsia="Arial" w:hAnsi="Arial"/>
                <w:sz w:val="15"/>
                <w:szCs w:val="15"/>
                <w:color w:val="auto"/>
                <w:w w:val="95"/>
              </w:rPr>
              <w:t>82</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159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auto"/>
              </w:rPr>
              <w:t>(45)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206"/>
        </w:trPr>
        <w:tc>
          <w:tcPr>
            <w:tcW w:w="2960" w:type="dxa"/>
            <w:vAlign w:val="bottom"/>
          </w:tcPr>
          <w:p>
            <w:pPr>
              <w:ind w:left="240"/>
              <w:spacing w:after="0"/>
              <w:rPr>
                <w:sz w:val="20"/>
                <w:szCs w:val="20"/>
                <w:color w:val="auto"/>
              </w:rPr>
            </w:pPr>
            <w:r>
              <w:rPr>
                <w:rFonts w:ascii="Arial" w:cs="Arial" w:eastAsia="Arial" w:hAnsi="Arial"/>
                <w:sz w:val="15"/>
                <w:szCs w:val="15"/>
                <w:color w:val="auto"/>
              </w:rPr>
              <w:t>Adjusted total capital</w:t>
            </w:r>
          </w:p>
        </w:tc>
        <w:tc>
          <w:tcPr>
            <w:tcW w:w="1500" w:type="dxa"/>
            <w:vAlign w:val="bottom"/>
          </w:tcPr>
          <w:p>
            <w:pPr>
              <w:ind w:left="108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left="684"/>
              <w:spacing w:after="0"/>
              <w:rPr>
                <w:sz w:val="20"/>
                <w:szCs w:val="20"/>
                <w:color w:val="auto"/>
              </w:rPr>
            </w:pPr>
            <w:r>
              <w:rPr>
                <w:rFonts w:ascii="Arial" w:cs="Arial" w:eastAsia="Arial" w:hAnsi="Arial"/>
                <w:sz w:val="15"/>
                <w:szCs w:val="15"/>
                <w:color w:val="auto"/>
                <w:w w:val="95"/>
              </w:rPr>
              <w:t>82</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184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auto"/>
              </w:rPr>
              <w:t>(45)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(229)</w:t>
            </w:r>
          </w:p>
        </w:tc>
        <w:tc>
          <w:tcPr>
            <w:tcW w:w="0" w:type="dxa"/>
            <w:vAlign w:val="bottom"/>
          </w:tcPr>
          <w:p>
            <w:pPr>
              <w:spacing w:after="0"/>
              <w:rPr>
                <w:sz w:val="1"/>
                <w:szCs w:val="1"/>
                <w:color w:val="auto"/>
              </w:rPr>
            </w:pPr>
          </w:p>
        </w:tc>
      </w:tr>
      <w:tr>
        <w:trPr>
          <w:trHeight w:val="197"/>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960" w:type="dxa"/>
            <w:vAlign w:val="bottom"/>
          </w:tcPr>
          <w:p>
            <w:pPr>
              <w:ind w:left="240"/>
              <w:spacing w:after="0" w:line="218" w:lineRule="exact"/>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(6)</w:t>
            </w:r>
          </w:p>
        </w:tc>
        <w:tc>
          <w:tcPr>
            <w:tcW w:w="1500" w:type="dxa"/>
            <w:vAlign w:val="bottom"/>
          </w:tcPr>
          <w:p>
            <w:pPr>
              <w:ind w:left="108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left="484"/>
              <w:spacing w:after="0"/>
              <w:rPr>
                <w:sz w:val="20"/>
                <w:szCs w:val="20"/>
                <w:color w:val="auto"/>
              </w:rPr>
            </w:pPr>
            <w:r>
              <w:rPr>
                <w:rFonts w:ascii="Arial" w:cs="Arial" w:eastAsia="Arial" w:hAnsi="Arial"/>
                <w:sz w:val="15"/>
                <w:szCs w:val="15"/>
                <w:color w:val="auto"/>
              </w:rPr>
              <w:t>N/A</w:t>
            </w:r>
          </w:p>
        </w:tc>
        <w:tc>
          <w:tcPr>
            <w:tcW w:w="980" w:type="dxa"/>
            <w:vAlign w:val="bottom"/>
          </w:tcPr>
          <w:p>
            <w:pPr>
              <w:spacing w:after="0"/>
              <w:rPr>
                <w:sz w:val="18"/>
                <w:szCs w:val="18"/>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auto"/>
              </w:rPr>
              <w:t>(34)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204"/>
        </w:trPr>
        <w:tc>
          <w:tcPr>
            <w:tcW w:w="2960" w:type="dxa"/>
            <w:vAlign w:val="bottom"/>
          </w:tcPr>
          <w:p>
            <w:pPr>
              <w:ind w:left="240"/>
              <w:spacing w:after="0"/>
              <w:rPr>
                <w:sz w:val="20"/>
                <w:szCs w:val="20"/>
                <w:color w:val="auto"/>
              </w:rPr>
            </w:pPr>
            <w:r>
              <w:rPr>
                <w:rFonts w:ascii="Arial" w:cs="Arial" w:eastAsia="Arial" w:hAnsi="Arial"/>
                <w:sz w:val="15"/>
                <w:szCs w:val="15"/>
                <w:color w:val="auto"/>
              </w:rPr>
              <w:t>Tier 1 capital</w:t>
            </w:r>
          </w:p>
        </w:tc>
        <w:tc>
          <w:tcPr>
            <w:tcW w:w="1500" w:type="dxa"/>
            <w:vAlign w:val="bottom"/>
          </w:tcPr>
          <w:p>
            <w:pPr>
              <w:ind w:left="108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left="684"/>
              <w:spacing w:after="0"/>
              <w:rPr>
                <w:sz w:val="20"/>
                <w:szCs w:val="20"/>
                <w:color w:val="auto"/>
              </w:rPr>
            </w:pPr>
            <w:r>
              <w:rPr>
                <w:rFonts w:ascii="Arial" w:cs="Arial" w:eastAsia="Arial" w:hAnsi="Arial"/>
                <w:sz w:val="15"/>
                <w:szCs w:val="15"/>
                <w:color w:val="auto"/>
                <w:w w:val="95"/>
              </w:rPr>
              <w:t>24</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135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auto"/>
              </w:rPr>
              <w:t>(45)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December 31, 2023</w:t>
      </w:r>
      <w:r>
        <w:rPr>
          <w:rFonts w:ascii="Arial" w:cs="Arial" w:eastAsia="Arial" w:hAnsi="Arial"/>
          <w:sz w:val="24"/>
          <w:szCs w:val="24"/>
          <w:b w:val="1"/>
          <w:bCs w:val="1"/>
          <w:color w:val="05314D"/>
          <w:vertAlign w:val="superscript"/>
        </w:rPr>
        <w:t>(1)</w:t>
      </w:r>
    </w:p>
    <w:tbl>
      <w:tblPr>
        <w:tblLayout w:type="fixed"/>
        <w:tblInd w:w="0" w:type="dxa"/>
        <w:tblCellMar>
          <w:top w:w="0" w:type="dxa"/>
          <w:left w:w="0" w:type="dxa"/>
          <w:bottom w:w="0" w:type="dxa"/>
          <w:right w:w="0" w:type="dxa"/>
        </w:tblCellMar>
      </w:tblPr>
      <w:tr>
        <w:trPr>
          <w:trHeight w:val="198"/>
        </w:trPr>
        <w:tc>
          <w:tcPr>
            <w:tcW w:w="2760" w:type="dxa"/>
            <w:vAlign w:val="bottom"/>
            <w:tcBorders>
              <w:top w:val="single" w:sz="8" w:color="2C6937"/>
            </w:tcBorders>
          </w:tcPr>
          <w:p>
            <w:pPr>
              <w:spacing w:after="0"/>
              <w:rPr>
                <w:sz w:val="17"/>
                <w:szCs w:val="17"/>
                <w:color w:val="auto"/>
              </w:rPr>
            </w:pPr>
          </w:p>
        </w:tc>
        <w:tc>
          <w:tcPr>
            <w:tcW w:w="138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22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2200" w:type="dxa"/>
            <w:vAlign w:val="bottom"/>
            <w:tcBorders>
              <w:top w:val="single" w:sz="8" w:color="2C6937"/>
            </w:tcBorders>
            <w:gridSpan w:val="6"/>
          </w:tcPr>
          <w:p>
            <w:pPr>
              <w:ind w:left="260"/>
              <w:spacing w:after="0"/>
              <w:rPr>
                <w:sz w:val="20"/>
                <w:szCs w:val="20"/>
                <w:color w:val="auto"/>
              </w:rPr>
            </w:pPr>
            <w:r>
              <w:rPr>
                <w:rFonts w:ascii="Arial" w:cs="Arial" w:eastAsia="Arial" w:hAnsi="Arial"/>
                <w:sz w:val="14"/>
                <w:szCs w:val="14"/>
                <w:b w:val="1"/>
                <w:bCs w:val="1"/>
                <w:color w:val="auto"/>
              </w:rPr>
              <w:t>(Dollars in billions)</w:t>
            </w:r>
          </w:p>
        </w:tc>
        <w:tc>
          <w:tcPr>
            <w:tcW w:w="1280" w:type="dxa"/>
            <w:vAlign w:val="bottom"/>
            <w:tcBorders>
              <w:top w:val="single" w:sz="8" w:color="2C6937"/>
            </w:tcBorders>
          </w:tcPr>
          <w:p>
            <w:pPr>
              <w:spacing w:after="0"/>
              <w:rPr>
                <w:sz w:val="17"/>
                <w:szCs w:val="17"/>
                <w:color w:val="auto"/>
              </w:rPr>
            </w:pPr>
          </w:p>
        </w:tc>
        <w:tc>
          <w:tcPr>
            <w:tcW w:w="34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78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20" w:type="dxa"/>
            <w:vAlign w:val="bottom"/>
            <w:tcBorders>
              <w:top w:val="single" w:sz="8" w:color="2C6937"/>
            </w:tcBorders>
          </w:tcPr>
          <w:p>
            <w:pPr>
              <w:spacing w:after="0"/>
              <w:rPr>
                <w:sz w:val="17"/>
                <w:szCs w:val="17"/>
                <w:color w:val="auto"/>
              </w:rPr>
            </w:pPr>
          </w:p>
        </w:tc>
        <w:tc>
          <w:tcPr>
            <w:tcW w:w="32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500" w:type="dxa"/>
            <w:vAlign w:val="bottom"/>
            <w:tcBorders>
              <w:top w:val="single" w:sz="8" w:color="2C6937"/>
            </w:tcBorders>
          </w:tcPr>
          <w:p>
            <w:pPr>
              <w:spacing w:after="0"/>
              <w:rPr>
                <w:sz w:val="17"/>
                <w:szCs w:val="17"/>
                <w:color w:val="auto"/>
              </w:rPr>
            </w:pPr>
          </w:p>
        </w:tc>
        <w:tc>
          <w:tcPr>
            <w:tcW w:w="76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571"/>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4,552</w:t>
            </w:r>
          </w:p>
        </w:tc>
        <w:tc>
          <w:tcPr>
            <w:tcW w:w="140" w:type="dxa"/>
            <w:vAlign w:val="bottom"/>
          </w:tcPr>
          <w:p>
            <w:pPr>
              <w:spacing w:after="0"/>
              <w:rPr>
                <w:sz w:val="17"/>
                <w:szCs w:val="17"/>
                <w:color w:val="auto"/>
              </w:rPr>
            </w:pPr>
          </w:p>
        </w:tc>
        <w:tc>
          <w:tcPr>
            <w:tcW w:w="2000" w:type="dxa"/>
            <w:vAlign w:val="bottom"/>
            <w:gridSpan w:val="3"/>
          </w:tcPr>
          <w:p>
            <w:pPr>
              <w:ind w:left="20"/>
              <w:spacing w:after="0"/>
              <w:rPr>
                <w:sz w:val="20"/>
                <w:szCs w:val="20"/>
                <w:color w:val="auto"/>
              </w:rPr>
            </w:pPr>
            <w:r>
              <w:rPr>
                <w:rFonts w:ascii="Arial" w:cs="Arial" w:eastAsia="Arial" w:hAnsi="Arial"/>
                <w:sz w:val="15"/>
                <w:szCs w:val="15"/>
                <w:color w:val="auto"/>
              </w:rPr>
              <w:t>Stress capital buffer</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6"/>
        </w:trPr>
        <w:tc>
          <w:tcPr>
            <w:tcW w:w="4240" w:type="dxa"/>
            <w:vAlign w:val="bottom"/>
            <w:gridSpan w:val="3"/>
          </w:tcPr>
          <w:p>
            <w:pPr>
              <w:ind w:left="20"/>
              <w:spacing w:after="0"/>
              <w:rPr>
                <w:sz w:val="20"/>
                <w:szCs w:val="20"/>
                <w:color w:val="auto"/>
              </w:rPr>
            </w:pPr>
            <w:r>
              <w:rPr>
                <w:rFonts w:ascii="Arial" w:cs="Arial" w:eastAsia="Arial" w:hAnsi="Arial"/>
                <w:sz w:val="15"/>
                <w:szCs w:val="15"/>
                <w:color w:val="auto"/>
              </w:rPr>
              <w:t>Risk-weighted assets (standardized approach):</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3"/>
          </w:tcPr>
          <w:p>
            <w:pPr>
              <w:ind w:left="20"/>
              <w:spacing w:after="0"/>
              <w:rPr>
                <w:sz w:val="20"/>
                <w:szCs w:val="20"/>
                <w:color w:val="auto"/>
              </w:rPr>
            </w:pPr>
            <w:r>
              <w:rPr>
                <w:rFonts w:ascii="Arial" w:cs="Arial" w:eastAsia="Arial" w:hAnsi="Arial"/>
                <w:sz w:val="15"/>
                <w:szCs w:val="15"/>
                <w:color w:val="auto"/>
              </w:rPr>
              <w:t>Stability capital buffer</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6"/>
        </w:trPr>
        <w:tc>
          <w:tcPr>
            <w:tcW w:w="2760" w:type="dxa"/>
            <w:vAlign w:val="bottom"/>
          </w:tcPr>
          <w:p>
            <w:pPr>
              <w:ind w:left="120"/>
              <w:spacing w:after="0"/>
              <w:rPr>
                <w:sz w:val="20"/>
                <w:szCs w:val="20"/>
                <w:color w:val="auto"/>
              </w:rPr>
            </w:pPr>
            <w:r>
              <w:rPr>
                <w:rFonts w:ascii="Arial" w:cs="Arial" w:eastAsia="Arial" w:hAnsi="Arial"/>
                <w:sz w:val="15"/>
                <w:szCs w:val="15"/>
                <w:color w:val="auto"/>
              </w:rPr>
              <w:t>Credit risk</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571"/>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1,241</w:t>
            </w:r>
          </w:p>
        </w:tc>
        <w:tc>
          <w:tcPr>
            <w:tcW w:w="140" w:type="dxa"/>
            <w:vAlign w:val="bottom"/>
          </w:tcPr>
          <w:p>
            <w:pPr>
              <w:spacing w:after="0"/>
              <w:rPr>
                <w:sz w:val="17"/>
                <w:szCs w:val="17"/>
                <w:color w:val="auto"/>
              </w:rPr>
            </w:pPr>
          </w:p>
        </w:tc>
        <w:tc>
          <w:tcPr>
            <w:tcW w:w="2000" w:type="dxa"/>
            <w:vAlign w:val="bottom"/>
            <w:tcBorders>
              <w:bottom w:val="single" w:sz="8" w:color="2C6937"/>
            </w:tcBorders>
            <w:gridSpan w:val="3"/>
          </w:tcPr>
          <w:p>
            <w:pPr>
              <w:ind w:left="20"/>
              <w:spacing w:after="0"/>
              <w:rPr>
                <w:sz w:val="20"/>
                <w:szCs w:val="20"/>
                <w:color w:val="auto"/>
              </w:rPr>
            </w:pPr>
            <w:r>
              <w:rPr>
                <w:rFonts w:ascii="Arial" w:cs="Arial" w:eastAsia="Arial" w:hAnsi="Arial"/>
                <w:sz w:val="15"/>
                <w:szCs w:val="15"/>
                <w:color w:val="auto"/>
              </w:rPr>
              <w:t>Countercyclical capital buffer</w:t>
            </w:r>
          </w:p>
        </w:tc>
        <w:tc>
          <w:tcPr>
            <w:tcW w:w="3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5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8"/>
        </w:trPr>
        <w:tc>
          <w:tcPr>
            <w:tcW w:w="2760" w:type="dxa"/>
            <w:vAlign w:val="bottom"/>
          </w:tcPr>
          <w:p>
            <w:pPr>
              <w:ind w:left="120"/>
              <w:spacing w:after="0"/>
              <w:rPr>
                <w:sz w:val="20"/>
                <w:szCs w:val="20"/>
                <w:color w:val="auto"/>
              </w:rPr>
            </w:pPr>
            <w:r>
              <w:rPr>
                <w:rFonts w:ascii="Arial" w:cs="Arial" w:eastAsia="Arial" w:hAnsi="Arial"/>
                <w:sz w:val="15"/>
                <w:szCs w:val="15"/>
                <w:color w:val="auto"/>
              </w:rPr>
              <w:t>Market risk</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31</w:t>
            </w:r>
          </w:p>
        </w:tc>
        <w:tc>
          <w:tcPr>
            <w:tcW w:w="140" w:type="dxa"/>
            <w:vAlign w:val="bottom"/>
          </w:tcPr>
          <w:p>
            <w:pPr>
              <w:spacing w:after="0"/>
              <w:rPr>
                <w:sz w:val="20"/>
                <w:szCs w:val="20"/>
                <w:color w:val="auto"/>
              </w:rPr>
            </w:pPr>
          </w:p>
        </w:tc>
        <w:tc>
          <w:tcPr>
            <w:tcW w:w="3360" w:type="dxa"/>
            <w:vAlign w:val="bottom"/>
            <w:gridSpan w:val="8"/>
            <w:vMerge w:val="restart"/>
          </w:tcPr>
          <w:p>
            <w:pPr>
              <w:ind w:left="20"/>
              <w:spacing w:after="0"/>
              <w:rPr>
                <w:sz w:val="20"/>
                <w:szCs w:val="20"/>
                <w:color w:val="auto"/>
              </w:rPr>
            </w:pPr>
            <w:r>
              <w:rPr>
                <w:rFonts w:ascii="Arial" w:cs="Arial" w:eastAsia="Arial" w:hAnsi="Arial"/>
                <w:sz w:val="15"/>
                <w:szCs w:val="15"/>
                <w:b w:val="1"/>
                <w:bCs w:val="1"/>
                <w:color w:val="auto"/>
              </w:rPr>
              <w:t>Prescribed capital conservation buffer</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360" w:type="dxa"/>
            <w:vAlign w:val="bottom"/>
            <w:gridSpan w:val="8"/>
            <w:vMerge w:val="continue"/>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760" w:type="dxa"/>
            <w:vAlign w:val="bottom"/>
          </w:tcPr>
          <w:p>
            <w:pPr>
              <w:ind w:left="120"/>
              <w:spacing w:after="0"/>
              <w:rPr>
                <w:sz w:val="20"/>
                <w:szCs w:val="20"/>
                <w:color w:val="auto"/>
              </w:rPr>
            </w:pPr>
            <w:r>
              <w:rPr>
                <w:rFonts w:ascii="Arial" w:cs="Arial" w:eastAsia="Arial" w:hAnsi="Arial"/>
                <w:sz w:val="15"/>
                <w:szCs w:val="15"/>
                <w:color w:val="auto"/>
              </w:rPr>
              <w:t>Operational risk</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85</w:t>
            </w:r>
          </w:p>
        </w:tc>
        <w:tc>
          <w:tcPr>
            <w:tcW w:w="140" w:type="dxa"/>
            <w:vAlign w:val="bottom"/>
          </w:tcPr>
          <w:p>
            <w:pPr>
              <w:spacing w:after="0"/>
              <w:rPr>
                <w:sz w:val="17"/>
                <w:szCs w:val="17"/>
                <w:color w:val="auto"/>
              </w:rPr>
            </w:pPr>
          </w:p>
        </w:tc>
        <w:tc>
          <w:tcPr>
            <w:tcW w:w="72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b w:val="1"/>
                <w:bCs w:val="1"/>
                <w:color w:val="auto"/>
              </w:rPr>
              <w:t>amount</w:t>
            </w:r>
          </w:p>
        </w:tc>
        <w:tc>
          <w:tcPr>
            <w:tcW w:w="1280" w:type="dxa"/>
            <w:vAlign w:val="bottom"/>
            <w:tcBorders>
              <w:bottom w:val="single" w:sz="8" w:color="2C6937"/>
            </w:tcBorders>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32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2C6937"/>
            </w:tcBorders>
          </w:tcPr>
          <w:p>
            <w:pPr>
              <w:spacing w:after="0"/>
              <w:rPr>
                <w:sz w:val="17"/>
                <w:szCs w:val="17"/>
                <w:color w:val="auto"/>
              </w:rPr>
            </w:pPr>
          </w:p>
        </w:tc>
        <w:tc>
          <w:tcPr>
            <w:tcW w:w="5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40"/>
        </w:trPr>
        <w:tc>
          <w:tcPr>
            <w:tcW w:w="2760" w:type="dxa"/>
            <w:vAlign w:val="bottom"/>
            <w:tcBorders>
              <w:bottom w:val="single" w:sz="8" w:color="2C6937"/>
            </w:tcBorders>
          </w:tcPr>
          <w:p>
            <w:pPr>
              <w:spacing w:after="0"/>
              <w:rPr>
                <w:sz w:val="3"/>
                <w:szCs w:val="3"/>
                <w:color w:val="auto"/>
              </w:rPr>
            </w:pPr>
          </w:p>
        </w:tc>
        <w:tc>
          <w:tcPr>
            <w:tcW w:w="1380" w:type="dxa"/>
            <w:vAlign w:val="bottom"/>
            <w:tcBorders>
              <w:bottom w:val="single" w:sz="8" w:color="2C6937"/>
            </w:tcBorders>
          </w:tcPr>
          <w:p>
            <w:pPr>
              <w:spacing w:after="0"/>
              <w:rPr>
                <w:sz w:val="3"/>
                <w:szCs w:val="3"/>
                <w:color w:val="auto"/>
              </w:rPr>
            </w:pPr>
          </w:p>
        </w:tc>
        <w:tc>
          <w:tcPr>
            <w:tcW w:w="100" w:type="dxa"/>
            <w:vAlign w:val="bottom"/>
            <w:tcBorders>
              <w:bottom w:val="single" w:sz="8" w:color="2C6937"/>
            </w:tcBorders>
          </w:tcPr>
          <w:p>
            <w:pPr>
              <w:spacing w:after="0"/>
              <w:rPr>
                <w:sz w:val="3"/>
                <w:szCs w:val="3"/>
                <w:color w:val="auto"/>
              </w:rPr>
            </w:pPr>
          </w:p>
        </w:tc>
        <w:tc>
          <w:tcPr>
            <w:tcW w:w="140" w:type="dxa"/>
            <w:vAlign w:val="bottom"/>
            <w:tcBorders>
              <w:bottom w:val="single" w:sz="8" w:color="2C6937"/>
            </w:tcBorders>
          </w:tcPr>
          <w:p>
            <w:pPr>
              <w:spacing w:after="0"/>
              <w:rPr>
                <w:sz w:val="3"/>
                <w:szCs w:val="3"/>
                <w:color w:val="auto"/>
              </w:rPr>
            </w:pPr>
          </w:p>
        </w:tc>
        <w:tc>
          <w:tcPr>
            <w:tcW w:w="220" w:type="dxa"/>
            <w:vAlign w:val="bottom"/>
            <w:tcBorders>
              <w:bottom w:val="single" w:sz="8" w:color="2C6937"/>
            </w:tcBorders>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Borders>
              <w:bottom w:val="single" w:sz="8" w:color="2C6937"/>
            </w:tcBorders>
          </w:tcPr>
          <w:p>
            <w:pPr>
              <w:spacing w:after="0"/>
              <w:rPr>
                <w:sz w:val="3"/>
                <w:szCs w:val="3"/>
                <w:color w:val="auto"/>
              </w:rPr>
            </w:pPr>
          </w:p>
        </w:tc>
        <w:tc>
          <w:tcPr>
            <w:tcW w:w="80" w:type="dxa"/>
            <w:vAlign w:val="bottom"/>
            <w:tcBorders>
              <w:bottom w:val="single" w:sz="8" w:color="2C6937"/>
            </w:tcBorders>
          </w:tcPr>
          <w:p>
            <w:pPr>
              <w:spacing w:after="0"/>
              <w:rPr>
                <w:sz w:val="3"/>
                <w:szCs w:val="3"/>
                <w:color w:val="auto"/>
              </w:rPr>
            </w:pPr>
          </w:p>
        </w:tc>
        <w:tc>
          <w:tcPr>
            <w:tcW w:w="500" w:type="dxa"/>
            <w:vAlign w:val="bottom"/>
            <w:tcBorders>
              <w:bottom w:val="single" w:sz="8" w:color="2C6937"/>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bottom w:val="single" w:sz="8" w:color="2C6937"/>
            </w:tcBorders>
          </w:tcPr>
          <w:p>
            <w:pPr>
              <w:spacing w:after="0"/>
              <w:rPr>
                <w:sz w:val="3"/>
                <w:szCs w:val="3"/>
                <w:color w:val="auto"/>
              </w:rPr>
            </w:pPr>
          </w:p>
        </w:tc>
        <w:tc>
          <w:tcPr>
            <w:tcW w:w="100" w:type="dxa"/>
            <w:vAlign w:val="bottom"/>
            <w:tcBorders>
              <w:bottom w:val="single" w:sz="8" w:color="2C6937"/>
            </w:tcBorders>
          </w:tcPr>
          <w:p>
            <w:pPr>
              <w:spacing w:after="0"/>
              <w:rPr>
                <w:sz w:val="3"/>
                <w:szCs w:val="3"/>
                <w:color w:val="auto"/>
              </w:rPr>
            </w:pPr>
          </w:p>
        </w:tc>
        <w:tc>
          <w:tcPr>
            <w:tcW w:w="1280" w:type="dxa"/>
            <w:vAlign w:val="bottom"/>
            <w:tcBorders>
              <w:bottom w:val="single" w:sz="8" w:color="2C6937"/>
            </w:tcBorders>
          </w:tcPr>
          <w:p>
            <w:pPr>
              <w:spacing w:after="0"/>
              <w:rPr>
                <w:sz w:val="3"/>
                <w:szCs w:val="3"/>
                <w:color w:val="auto"/>
              </w:rPr>
            </w:pPr>
          </w:p>
        </w:tc>
        <w:tc>
          <w:tcPr>
            <w:tcW w:w="340" w:type="dxa"/>
            <w:vAlign w:val="bottom"/>
            <w:tcBorders>
              <w:bottom w:val="single" w:sz="8" w:color="2C6937"/>
            </w:tcBorders>
          </w:tcPr>
          <w:p>
            <w:pPr>
              <w:spacing w:after="0"/>
              <w:rPr>
                <w:sz w:val="3"/>
                <w:szCs w:val="3"/>
                <w:color w:val="auto"/>
              </w:rPr>
            </w:pPr>
          </w:p>
        </w:tc>
        <w:tc>
          <w:tcPr>
            <w:tcW w:w="80" w:type="dxa"/>
            <w:vAlign w:val="bottom"/>
            <w:tcBorders>
              <w:bottom w:val="single" w:sz="8" w:color="2C6937"/>
            </w:tcBorders>
          </w:tcPr>
          <w:p>
            <w:pPr>
              <w:spacing w:after="0"/>
              <w:rPr>
                <w:sz w:val="3"/>
                <w:szCs w:val="3"/>
                <w:color w:val="auto"/>
              </w:rPr>
            </w:pPr>
          </w:p>
        </w:tc>
        <w:tc>
          <w:tcPr>
            <w:tcW w:w="780" w:type="dxa"/>
            <w:vAlign w:val="bottom"/>
            <w:tcBorders>
              <w:bottom w:val="single" w:sz="8" w:color="2C6937"/>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Borders>
              <w:bottom w:val="single" w:sz="8" w:color="2C6937"/>
            </w:tcBorders>
          </w:tcPr>
          <w:p>
            <w:pPr>
              <w:spacing w:after="0"/>
              <w:rPr>
                <w:sz w:val="3"/>
                <w:szCs w:val="3"/>
                <w:color w:val="auto"/>
              </w:rPr>
            </w:pPr>
          </w:p>
        </w:tc>
        <w:tc>
          <w:tcPr>
            <w:tcW w:w="320" w:type="dxa"/>
            <w:vAlign w:val="bottom"/>
            <w:tcBorders>
              <w:bottom w:val="single" w:sz="8" w:color="2C6937"/>
            </w:tcBorders>
          </w:tcPr>
          <w:p>
            <w:pPr>
              <w:spacing w:after="0"/>
              <w:rPr>
                <w:sz w:val="3"/>
                <w:szCs w:val="3"/>
                <w:color w:val="auto"/>
              </w:rPr>
            </w:pPr>
          </w:p>
        </w:tc>
        <w:tc>
          <w:tcPr>
            <w:tcW w:w="80" w:type="dxa"/>
            <w:vAlign w:val="bottom"/>
            <w:tcBorders>
              <w:bottom w:val="single" w:sz="8" w:color="2C6937"/>
            </w:tcBorders>
          </w:tcPr>
          <w:p>
            <w:pPr>
              <w:spacing w:after="0"/>
              <w:rPr>
                <w:sz w:val="3"/>
                <w:szCs w:val="3"/>
                <w:color w:val="auto"/>
              </w:rPr>
            </w:pPr>
          </w:p>
        </w:tc>
        <w:tc>
          <w:tcPr>
            <w:tcW w:w="500" w:type="dxa"/>
            <w:vAlign w:val="bottom"/>
            <w:tcBorders>
              <w:bottom w:val="single" w:sz="8" w:color="2C6937"/>
            </w:tcBorders>
          </w:tcPr>
          <w:p>
            <w:pPr>
              <w:spacing w:after="0"/>
              <w:rPr>
                <w:sz w:val="3"/>
                <w:szCs w:val="3"/>
                <w:color w:val="auto"/>
              </w:rPr>
            </w:pPr>
          </w:p>
        </w:tc>
        <w:tc>
          <w:tcPr>
            <w:tcW w:w="760" w:type="dxa"/>
            <w:vAlign w:val="bottom"/>
            <w:tcBorders>
              <w:bottom w:val="single" w:sz="8" w:color="2C6937"/>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76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Total risk-weighted assets</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571"/>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00" w:type="dxa"/>
            <w:vAlign w:val="bottom"/>
          </w:tcPr>
          <w:p>
            <w:pPr>
              <w:jc w:val="right"/>
              <w:ind w:right="5"/>
              <w:spacing w:after="0" w:line="165" w:lineRule="exact"/>
              <w:rPr>
                <w:sz w:val="20"/>
                <w:szCs w:val="20"/>
                <w:color w:val="auto"/>
              </w:rPr>
            </w:pPr>
            <w:r>
              <w:rPr>
                <w:rFonts w:ascii="Arial" w:cs="Arial" w:eastAsia="Arial" w:hAnsi="Arial"/>
                <w:sz w:val="15"/>
                <w:szCs w:val="15"/>
                <w:color w:val="auto"/>
              </w:rPr>
              <w:t>1,357</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vMerge w:val="restart"/>
          </w:tcPr>
          <w:p>
            <w:pPr>
              <w:jc w:val="center"/>
              <w:ind w:left="269"/>
              <w:spacing w:after="0"/>
              <w:rPr>
                <w:sz w:val="20"/>
                <w:szCs w:val="20"/>
                <w:color w:val="auto"/>
              </w:rPr>
            </w:pPr>
            <w:r>
              <w:rPr>
                <w:rFonts w:ascii="Arial" w:cs="Arial" w:eastAsia="Arial" w:hAnsi="Arial"/>
                <w:sz w:val="14"/>
                <w:szCs w:val="14"/>
                <w:b w:val="1"/>
                <w:bCs w:val="1"/>
                <w:color w:val="auto"/>
                <w:w w:val="97"/>
              </w:rPr>
              <w:t>Total Capital</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2C6937"/>
              <w:bottom w:val="single" w:sz="8" w:color="2C6937"/>
            </w:tcBorders>
          </w:tcPr>
          <w:p>
            <w:pPr>
              <w:spacing w:after="0" w:line="20" w:lineRule="exact"/>
              <w:rPr>
                <w:sz w:val="1"/>
                <w:szCs w:val="1"/>
                <w:color w:val="auto"/>
              </w:rPr>
            </w:pPr>
          </w:p>
        </w:tc>
        <w:tc>
          <w:tcPr>
            <w:tcW w:w="13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760" w:type="dxa"/>
            <w:vAlign w:val="bottom"/>
          </w:tcPr>
          <w:p>
            <w:pPr>
              <w:spacing w:after="0"/>
              <w:rPr>
                <w:sz w:val="24"/>
                <w:szCs w:val="24"/>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Minimum Capital</w:t>
            </w:r>
          </w:p>
        </w:tc>
        <w:tc>
          <w:tcPr>
            <w:tcW w:w="134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8"/>
              </w:rPr>
              <w:t>Minimum Capital</w:t>
            </w:r>
          </w:p>
        </w:tc>
        <w:tc>
          <w:tcPr>
            <w:tcW w:w="13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8"/>
              </w:rPr>
              <w:t>Applicable</w:t>
            </w:r>
          </w:p>
        </w:tc>
        <w:tc>
          <w:tcPr>
            <w:tcW w:w="1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8"/>
              </w:rPr>
              <w:t>Available Capital</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76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340" w:type="dxa"/>
            <w:vAlign w:val="bottom"/>
            <w:gridSpan w:val="5"/>
            <w:vMerge w:val="continue"/>
          </w:tcPr>
          <w:p>
            <w:pPr>
              <w:spacing w:after="0"/>
              <w:rPr>
                <w:sz w:val="13"/>
                <w:szCs w:val="13"/>
                <w:color w:val="auto"/>
              </w:rPr>
            </w:pPr>
          </w:p>
        </w:tc>
        <w:tc>
          <w:tcPr>
            <w:tcW w:w="1360" w:type="dxa"/>
            <w:vAlign w:val="bottom"/>
            <w:gridSpan w:val="4"/>
            <w:vMerge w:val="continue"/>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8"/>
              </w:rPr>
              <w:t>Requirement (including</w:t>
            </w:r>
          </w:p>
        </w:tc>
        <w:tc>
          <w:tcPr>
            <w:tcW w:w="1340" w:type="dxa"/>
            <w:vAlign w:val="bottom"/>
            <w:gridSpan w:val="5"/>
            <w:vMerge w:val="continue"/>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76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40" w:type="dxa"/>
            <w:vAlign w:val="bottom"/>
          </w:tcPr>
          <w:p>
            <w:pPr>
              <w:spacing w:after="0"/>
              <w:rPr>
                <w:sz w:val="17"/>
                <w:szCs w:val="17"/>
                <w:color w:val="auto"/>
              </w:rPr>
            </w:pP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3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Buffers</w:t>
            </w:r>
            <w:r>
              <w:rPr>
                <w:rFonts w:ascii="Arial" w:cs="Arial" w:eastAsia="Arial" w:hAnsi="Arial"/>
                <w:sz w:val="17"/>
                <w:szCs w:val="17"/>
                <w:b w:val="1"/>
                <w:bCs w:val="1"/>
                <w:color w:val="auto"/>
                <w:w w:val="95"/>
                <w:vertAlign w:val="superscript"/>
              </w:rPr>
              <w:t>(2)</w:t>
            </w:r>
          </w:p>
        </w:tc>
        <w:tc>
          <w:tcPr>
            <w:tcW w:w="1280" w:type="dxa"/>
            <w:vAlign w:val="bottom"/>
          </w:tcPr>
          <w:p>
            <w:pPr>
              <w:jc w:val="center"/>
              <w:ind w:left="249"/>
              <w:spacing w:after="0"/>
              <w:rPr>
                <w:sz w:val="20"/>
                <w:szCs w:val="20"/>
                <w:color w:val="auto"/>
              </w:rPr>
            </w:pPr>
            <w:r>
              <w:rPr>
                <w:rFonts w:ascii="Arial" w:cs="Arial" w:eastAsia="Arial" w:hAnsi="Arial"/>
                <w:sz w:val="14"/>
                <w:szCs w:val="14"/>
                <w:b w:val="1"/>
                <w:bCs w:val="1"/>
                <w:color w:val="auto"/>
                <w:w w:val="96"/>
              </w:rPr>
              <w:t>Buffers)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93"/>
              </w:rPr>
              <w:t>(Deficit)</w:t>
            </w:r>
            <w:r>
              <w:rPr>
                <w:rFonts w:ascii="Arial" w:cs="Arial" w:eastAsia="Arial" w:hAnsi="Arial"/>
                <w:sz w:val="17"/>
                <w:szCs w:val="17"/>
                <w:b w:val="1"/>
                <w:bCs w:val="1"/>
                <w:color w:val="auto"/>
                <w:w w:val="93"/>
                <w:vertAlign w:val="superscript"/>
              </w:rPr>
              <w:t>(3)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Capital Shortfall</w:t>
            </w:r>
            <w:r>
              <w:rPr>
                <w:rFonts w:ascii="Arial" w:cs="Arial" w:eastAsia="Arial" w:hAnsi="Arial"/>
                <w:sz w:val="17"/>
                <w:szCs w:val="17"/>
                <w:b w:val="1"/>
                <w:bCs w:val="1"/>
                <w:color w:val="auto"/>
                <w:w w:val="98"/>
                <w:vertAlign w:val="superscript"/>
              </w:rPr>
              <w:t>(4)</w:t>
            </w:r>
          </w:p>
        </w:tc>
        <w:tc>
          <w:tcPr>
            <w:tcW w:w="0" w:type="dxa"/>
            <w:vAlign w:val="bottom"/>
          </w:tcPr>
          <w:p>
            <w:pPr>
              <w:spacing w:after="0"/>
              <w:rPr>
                <w:sz w:val="1"/>
                <w:szCs w:val="1"/>
                <w:color w:val="auto"/>
              </w:rPr>
            </w:pPr>
          </w:p>
        </w:tc>
      </w:tr>
      <w:tr>
        <w:trPr>
          <w:trHeight w:val="187"/>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Risk-based capital:</w:t>
            </w:r>
          </w:p>
        </w:tc>
        <w:tc>
          <w:tcPr>
            <w:tcW w:w="13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220" w:type="dxa"/>
            <w:vAlign w:val="bottom"/>
            <w:tcBorders>
              <w:top w:val="single" w:sz="8" w:color="2C6937"/>
            </w:tcBorders>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76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2C6937"/>
            </w:tcBorders>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62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2C6937"/>
            </w:tcBorders>
          </w:tcPr>
          <w:p>
            <w:pPr>
              <w:spacing w:after="0"/>
              <w:rPr>
                <w:sz w:val="16"/>
                <w:szCs w:val="16"/>
                <w:color w:val="auto"/>
              </w:rPr>
            </w:pPr>
          </w:p>
        </w:tc>
        <w:tc>
          <w:tcPr>
            <w:tcW w:w="34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2C6937"/>
            </w:tcBorders>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32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2C6937"/>
            </w:tcBorders>
          </w:tcPr>
          <w:p>
            <w:pPr>
              <w:spacing w:after="0"/>
              <w:rPr>
                <w:sz w:val="16"/>
                <w:szCs w:val="16"/>
                <w:color w:val="auto"/>
              </w:rPr>
            </w:pPr>
          </w:p>
        </w:tc>
        <w:tc>
          <w:tcPr>
            <w:tcW w:w="760" w:type="dxa"/>
            <w:vAlign w:val="bottom"/>
            <w:tcBorders>
              <w:top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240"/>
              <w:spacing w:after="0" w:line="207" w:lineRule="exact"/>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(5)</w:t>
            </w: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3"/>
          </w:tcPr>
          <w:p>
            <w:pPr>
              <w:jc w:val="right"/>
              <w:ind w:right="11"/>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center"/>
              <w:ind w:left="183"/>
              <w:spacing w:after="0"/>
              <w:rPr>
                <w:sz w:val="20"/>
                <w:szCs w:val="20"/>
                <w:color w:val="auto"/>
              </w:rPr>
            </w:pPr>
            <w:r>
              <w:rPr>
                <w:rFonts w:ascii="Arial" w:cs="Arial" w:eastAsia="Arial" w:hAnsi="Arial"/>
                <w:sz w:val="15"/>
                <w:szCs w:val="15"/>
                <w:color w:val="auto"/>
              </w:rPr>
              <w:t>N/A</w:t>
            </w:r>
          </w:p>
        </w:tc>
        <w:tc>
          <w:tcPr>
            <w:tcW w:w="1280" w:type="dxa"/>
            <w:vAlign w:val="bottom"/>
          </w:tcPr>
          <w:p>
            <w:pPr>
              <w:jc w:val="right"/>
              <w:ind w:right="1109"/>
              <w:spacing w:after="0"/>
              <w:rPr>
                <w:sz w:val="20"/>
                <w:szCs w:val="20"/>
                <w:color w:val="auto"/>
              </w:rPr>
            </w:pPr>
            <w:r>
              <w:rPr>
                <w:rFonts w:ascii="Arial" w:cs="Arial" w:eastAsia="Arial" w:hAnsi="Arial"/>
                <w:sz w:val="15"/>
                <w:szCs w:val="15"/>
                <w:color w:val="auto"/>
                <w:w w:val="95"/>
              </w:rPr>
              <w:t>$</w:t>
            </w: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109</w:t>
            </w:r>
          </w:p>
        </w:tc>
        <w:tc>
          <w:tcPr>
            <w:tcW w:w="80" w:type="dxa"/>
            <w:vAlign w:val="bottom"/>
          </w:tcPr>
          <w:p>
            <w:pPr>
              <w:spacing w:after="0"/>
              <w:rPr>
                <w:sz w:val="17"/>
                <w:szCs w:val="17"/>
                <w:color w:val="auto"/>
              </w:rPr>
            </w:pPr>
          </w:p>
        </w:tc>
        <w:tc>
          <w:tcPr>
            <w:tcW w:w="780" w:type="dxa"/>
            <w:vAlign w:val="bottom"/>
          </w:tcPr>
          <w:p>
            <w:pPr>
              <w:jc w:val="right"/>
              <w:ind w:right="608"/>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17"/>
                <w:szCs w:val="17"/>
                <w:color w:val="auto"/>
              </w:rPr>
            </w:pPr>
          </w:p>
        </w:tc>
        <w:tc>
          <w:tcPr>
            <w:tcW w:w="500" w:type="dxa"/>
            <w:vAlign w:val="bottom"/>
          </w:tcPr>
          <w:p>
            <w:pPr>
              <w:jc w:val="right"/>
              <w:ind w:right="32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204"/>
        </w:trPr>
        <w:tc>
          <w:tcPr>
            <w:tcW w:w="2760" w:type="dxa"/>
            <w:vAlign w:val="bottom"/>
          </w:tcPr>
          <w:p>
            <w:pPr>
              <w:ind w:left="240"/>
              <w:spacing w:after="0"/>
              <w:rPr>
                <w:sz w:val="20"/>
                <w:szCs w:val="20"/>
                <w:color w:val="auto"/>
              </w:rPr>
            </w:pPr>
            <w:r>
              <w:rPr>
                <w:rFonts w:ascii="Arial" w:cs="Arial" w:eastAsia="Arial" w:hAnsi="Arial"/>
                <w:sz w:val="15"/>
                <w:szCs w:val="15"/>
                <w:color w:val="auto"/>
              </w:rPr>
              <w:t>Common equity tier 1 capital</w:t>
            </w: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11"/>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7"/>
                <w:szCs w:val="17"/>
                <w:color w:val="auto"/>
              </w:rPr>
            </w:pPr>
          </w:p>
        </w:tc>
        <w:tc>
          <w:tcPr>
            <w:tcW w:w="500" w:type="dxa"/>
            <w:vAlign w:val="bottom"/>
          </w:tcPr>
          <w:p>
            <w:pPr>
              <w:jc w:val="right"/>
              <w:ind w:right="325"/>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jc w:val="center"/>
              <w:ind w:left="383"/>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140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Arial" w:cs="Arial" w:eastAsia="Arial" w:hAnsi="Arial"/>
                <w:sz w:val="15"/>
                <w:szCs w:val="15"/>
                <w:color w:val="auto"/>
              </w:rPr>
              <w:t>(74)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(214)</w:t>
            </w:r>
          </w:p>
        </w:tc>
        <w:tc>
          <w:tcPr>
            <w:tcW w:w="0" w:type="dxa"/>
            <w:vAlign w:val="bottom"/>
          </w:tcPr>
          <w:p>
            <w:pPr>
              <w:spacing w:after="0"/>
              <w:rPr>
                <w:sz w:val="1"/>
                <w:szCs w:val="1"/>
                <w:color w:val="auto"/>
              </w:rPr>
            </w:pPr>
          </w:p>
        </w:tc>
      </w:tr>
      <w:tr>
        <w:trPr>
          <w:trHeight w:val="206"/>
        </w:trPr>
        <w:tc>
          <w:tcPr>
            <w:tcW w:w="2760" w:type="dxa"/>
            <w:vAlign w:val="bottom"/>
          </w:tcPr>
          <w:p>
            <w:pPr>
              <w:ind w:left="240"/>
              <w:spacing w:after="0"/>
              <w:rPr>
                <w:sz w:val="20"/>
                <w:szCs w:val="20"/>
                <w:color w:val="auto"/>
              </w:rPr>
            </w:pPr>
            <w:r>
              <w:rPr>
                <w:rFonts w:ascii="Arial" w:cs="Arial" w:eastAsia="Arial" w:hAnsi="Arial"/>
                <w:sz w:val="15"/>
                <w:szCs w:val="15"/>
                <w:color w:val="auto"/>
              </w:rPr>
              <w:t>Tier 1 capital</w:t>
            </w: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11"/>
              <w:spacing w:after="0"/>
              <w:rPr>
                <w:sz w:val="20"/>
                <w:szCs w:val="20"/>
                <w:color w:val="auto"/>
              </w:rPr>
            </w:pPr>
            <w:r>
              <w:rPr>
                <w:rFonts w:ascii="Arial" w:cs="Arial" w:eastAsia="Arial" w:hAnsi="Arial"/>
                <w:sz w:val="15"/>
                <w:szCs w:val="15"/>
                <w:color w:val="auto"/>
              </w:rPr>
              <w:t>81</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gridSpan w:val="2"/>
          </w:tcPr>
          <w:p>
            <w:pPr>
              <w:jc w:val="center"/>
              <w:ind w:left="383"/>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160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06"/>
        </w:trPr>
        <w:tc>
          <w:tcPr>
            <w:tcW w:w="2760" w:type="dxa"/>
            <w:vAlign w:val="bottom"/>
          </w:tcPr>
          <w:p>
            <w:pPr>
              <w:ind w:left="240"/>
              <w:spacing w:after="0"/>
              <w:rPr>
                <w:sz w:val="20"/>
                <w:szCs w:val="20"/>
                <w:color w:val="auto"/>
              </w:rPr>
            </w:pPr>
            <w:r>
              <w:rPr>
                <w:rFonts w:ascii="Arial" w:cs="Arial" w:eastAsia="Arial" w:hAnsi="Arial"/>
                <w:sz w:val="15"/>
                <w:szCs w:val="15"/>
                <w:color w:val="auto"/>
              </w:rPr>
              <w:t>Adjusted total capital</w:t>
            </w: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11"/>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gridSpan w:val="2"/>
          </w:tcPr>
          <w:p>
            <w:pPr>
              <w:jc w:val="center"/>
              <w:ind w:left="383"/>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188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(243)</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240"/>
              <w:spacing w:after="0" w:line="207" w:lineRule="exact"/>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(6)</w:t>
            </w: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11"/>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center"/>
              <w:ind w:left="183"/>
              <w:spacing w:after="0"/>
              <w:rPr>
                <w:sz w:val="20"/>
                <w:szCs w:val="20"/>
                <w:color w:val="auto"/>
              </w:rPr>
            </w:pPr>
            <w:r>
              <w:rPr>
                <w:rFonts w:ascii="Arial" w:cs="Arial" w:eastAsia="Arial" w:hAnsi="Arial"/>
                <w:sz w:val="15"/>
                <w:szCs w:val="15"/>
                <w:color w:val="auto"/>
              </w:rPr>
              <w:t>N/A</w:t>
            </w:r>
          </w:p>
        </w:tc>
        <w:tc>
          <w:tcPr>
            <w:tcW w:w="12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114</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204"/>
        </w:trPr>
        <w:tc>
          <w:tcPr>
            <w:tcW w:w="2760" w:type="dxa"/>
            <w:vAlign w:val="bottom"/>
          </w:tcPr>
          <w:p>
            <w:pPr>
              <w:ind w:left="240"/>
              <w:spacing w:after="0"/>
              <w:rPr>
                <w:sz w:val="20"/>
                <w:szCs w:val="20"/>
                <w:color w:val="auto"/>
              </w:rPr>
            </w:pPr>
            <w:r>
              <w:rPr>
                <w:rFonts w:ascii="Arial" w:cs="Arial" w:eastAsia="Arial" w:hAnsi="Arial"/>
                <w:sz w:val="15"/>
                <w:szCs w:val="15"/>
                <w:color w:val="auto"/>
              </w:rPr>
              <w:t>Tier 1 capital</w:t>
            </w: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11"/>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gridSpan w:val="2"/>
          </w:tcPr>
          <w:p>
            <w:pPr>
              <w:jc w:val="center"/>
              <w:ind w:left="383"/>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20" w:hanging="217"/>
        <w:spacing w:after="0"/>
        <w:tabs>
          <w:tab w:leader="none" w:pos="22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37" w:lineRule="exact"/>
        <w:rPr>
          <w:rFonts w:ascii="Arial" w:cs="Arial" w:eastAsia="Arial" w:hAnsi="Arial"/>
          <w:sz w:val="18"/>
          <w:szCs w:val="18"/>
          <w:color w:val="auto"/>
          <w:vertAlign w:val="superscript"/>
        </w:rPr>
      </w:pPr>
    </w:p>
    <w:p>
      <w:pPr>
        <w:ind w:left="240" w:right="260" w:hanging="237"/>
        <w:spacing w:after="0" w:line="228" w:lineRule="auto"/>
        <w:tabs>
          <w:tab w:leader="none" w:pos="233"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The prescribed capital buffers represent the amount of capital we are required to hold above the minimum risk-based and leverage capital requirements. The applicable buffer for risk-based common equity tier 1 capital, tier 1 capital, and adjusted total capital is the prescribed capital conservation buffer amount, or PCCBA, which is composed of a stress capital buffer, a stability capital buffer, and a countercyclical capital buffer. The PCCBA must be comprised entirely of common equity tier one capital. The applicable buffer for leverage tier 1 capital is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3" w:name="page54"/>
    <w:bookmarkEnd w:id="53"/>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40"/>
        <w:spacing w:after="0" w:line="262" w:lineRule="auto"/>
        <w:rPr>
          <w:sz w:val="20"/>
          <w:szCs w:val="20"/>
          <w:color w:val="auto"/>
        </w:rPr>
      </w:pPr>
      <w:r>
        <w:rPr>
          <w:rFonts w:ascii="Arial" w:cs="Arial" w:eastAsia="Arial" w:hAnsi="Arial"/>
          <w:sz w:val="14"/>
          <w:szCs w:val="14"/>
          <w:color w:val="auto"/>
        </w:rPr>
        <w:t>the prescribed leverage buffer amount, or PLBA. The stress capital buffer and countercyclical capital buffer are each calculated by multiplying prescribed factors by adjusted total assets as of the last day of the previous calendar quarter. The stability capital buffer is based on our share of mortgage debt outstanding. The prescribed leverage buffer for June 30, 2024 and December 31, 2023 was set at 50% of the June 30, 2024 and December 31, 2023 stability capital buffer, respectively.</w:t>
      </w:r>
    </w:p>
    <w:p>
      <w:pPr>
        <w:spacing w:after="0" w:line="1" w:lineRule="exact"/>
        <w:rPr>
          <w:sz w:val="20"/>
          <w:szCs w:val="20"/>
          <w:color w:val="auto"/>
        </w:rPr>
      </w:pPr>
    </w:p>
    <w:p>
      <w:pPr>
        <w:ind w:left="240" w:right="120" w:hanging="237"/>
        <w:spacing w:after="0" w:line="257" w:lineRule="auto"/>
        <w:tabs>
          <w:tab w:leader="none" w:pos="233" w:val="left"/>
        </w:tabs>
        <w:numPr>
          <w:ilvl w:val="0"/>
          <w:numId w:val="56"/>
        </w:numPr>
        <w:rPr>
          <w:rFonts w:ascii="Arial" w:cs="Arial" w:eastAsia="Arial" w:hAnsi="Arial"/>
          <w:sz w:val="9"/>
          <w:szCs w:val="9"/>
          <w:color w:val="auto"/>
        </w:rPr>
      </w:pPr>
      <w:r>
        <w:rPr>
          <w:rFonts w:ascii="Arial" w:cs="Arial" w:eastAsia="Arial" w:hAnsi="Arial"/>
          <w:sz w:val="14"/>
          <w:szCs w:val="14"/>
          <w:color w:val="auto"/>
        </w:rPr>
        <w:t>Available capital (deficit) for all line items excludes the stated value of the senior preferred stock ($120.8 billion). Available capital (deficit) for all line items except total capital and core capital also deducts a portion of deferred tax assets. Deferred tax assets arising from temporary differences between GAAP and tax requirements are deducted from capital to the extent they exceed 10% of common equity. As of June 30, 2024 and December 31, 2023, this resulted in the full deduction of deferred tax assets ($11.0 billion and $11.7 billion, respectively) from our available capital (deficit). Available capital (deficit) for common equity tier 1 capital also excludes the value of the perpetual, noncumulative preferred stock ($19.1 billion) as of June 30, 2024 and December 31, 2023.</w:t>
      </w:r>
    </w:p>
    <w:p>
      <w:pPr>
        <w:ind w:left="220" w:hanging="217"/>
        <w:spacing w:after="0"/>
        <w:tabs>
          <w:tab w:leader="none" w:pos="22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Our capital shortfall consists of the difference between the applicable capital requirement (including buffers) and the applicable available capital (deficit).</w:t>
      </w:r>
    </w:p>
    <w:p>
      <w:pPr>
        <w:spacing w:after="0" w:line="24" w:lineRule="exact"/>
        <w:rPr>
          <w:rFonts w:ascii="Arial" w:cs="Arial" w:eastAsia="Arial" w:hAnsi="Arial"/>
          <w:sz w:val="18"/>
          <w:szCs w:val="18"/>
          <w:color w:val="auto"/>
          <w:vertAlign w:val="superscript"/>
        </w:rPr>
      </w:pPr>
    </w:p>
    <w:p>
      <w:pPr>
        <w:ind w:left="240" w:right="60" w:hanging="237"/>
        <w:spacing w:after="0" w:line="253" w:lineRule="auto"/>
        <w:tabs>
          <w:tab w:leader="none" w:pos="233" w:val="left"/>
        </w:tabs>
        <w:numPr>
          <w:ilvl w:val="0"/>
          <w:numId w:val="56"/>
        </w:numPr>
        <w:rPr>
          <w:rFonts w:ascii="Arial" w:cs="Arial" w:eastAsia="Arial" w:hAnsi="Arial"/>
          <w:sz w:val="9"/>
          <w:szCs w:val="9"/>
          <w:color w:val="auto"/>
        </w:rPr>
      </w:pPr>
      <w:r>
        <w:rPr>
          <w:rFonts w:ascii="Arial" w:cs="Arial" w:eastAsia="Arial" w:hAnsi="Arial"/>
          <w:sz w:val="14"/>
          <w:szCs w:val="14"/>
          <w:color w:val="auto"/>
        </w:rPr>
        <w:t>The sum of (a) core capital (see definition in footnote 6 below); and (b) a general allowance for foreclosure losses, which (i) shall include an allowance for portfolio mortgage losses, an allowance for non-reimbursable foreclosure costs on government claims, and an allowance for liabilities reflected on the balance sheet for estimated foreclosure losses on mortgage-backed securities; and (ii) shall not include any reserves made or held against specific assets; and (c) any other amounts from sources of funds available to absorb losses that the Director of FHFA by regulation determines are appropriate to include in determining total capital.</w:t>
      </w:r>
    </w:p>
    <w:p>
      <w:pPr>
        <w:spacing w:after="0" w:line="18" w:lineRule="exact"/>
        <w:rPr>
          <w:rFonts w:ascii="Arial" w:cs="Arial" w:eastAsia="Arial" w:hAnsi="Arial"/>
          <w:sz w:val="9"/>
          <w:szCs w:val="9"/>
          <w:color w:val="auto"/>
        </w:rPr>
      </w:pPr>
    </w:p>
    <w:p>
      <w:pPr>
        <w:ind w:left="240" w:right="80" w:hanging="237"/>
        <w:spacing w:after="0" w:line="228" w:lineRule="auto"/>
        <w:tabs>
          <w:tab w:leader="none" w:pos="233"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The sum of (a) the stated value of our outstanding common stock (common stock less treasury stock); (b) the stated value of our outstanding perpetual, noncumulative preferred stock; (c) our paid-in capital; and (d) our retained earnings (accumulated deficit). Core capital does not include: (a) accumulated other comprehensive income or (b) senior preferred stock.</w:t>
      </w:r>
    </w:p>
    <w:p>
      <w:pPr>
        <w:spacing w:after="0" w:line="76"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At June 30, 2024, our maximum payout ratio under the enterprise regulatory capital framework was 0%. See “Note 15, Regulatory Capital Requirements” for information on our capital ratios as of June 30, 2024 and December 31, 2023 under the enterprise regulatory capital framework.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regulatory capital.</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Regulatory Capital Components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54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60" w:type="dxa"/>
            <w:vAlign w:val="bottom"/>
            <w:tcBorders>
              <w:top w:val="single" w:sz="8" w:color="2C6937"/>
              <w:bottom w:val="single" w:sz="8" w:color="2C6937"/>
            </w:tcBorders>
          </w:tcPr>
          <w:p>
            <w:pPr>
              <w:spacing w:after="0"/>
              <w:rPr>
                <w:sz w:val="17"/>
                <w:szCs w:val="17"/>
                <w:color w:val="auto"/>
              </w:rPr>
            </w:pPr>
          </w:p>
        </w:tc>
        <w:tc>
          <w:tcPr>
            <w:tcW w:w="178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top w:val="single" w:sz="8" w:color="2C6937"/>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7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580" w:type="dxa"/>
            <w:vAlign w:val="bottom"/>
            <w:tcBorders>
              <w:bottom w:val="single" w:sz="8" w:color="2C6937"/>
            </w:tcBorders>
            <w:gridSpan w:val="2"/>
          </w:tcPr>
          <w:p>
            <w:pPr>
              <w:ind w:left="160"/>
              <w:spacing w:after="0"/>
              <w:rPr>
                <w:sz w:val="20"/>
                <w:szCs w:val="20"/>
                <w:color w:val="auto"/>
              </w:rPr>
            </w:pPr>
            <w:r>
              <w:rPr>
                <w:rFonts w:ascii="Arial" w:cs="Arial" w:eastAsia="Arial" w:hAnsi="Arial"/>
                <w:sz w:val="14"/>
                <w:szCs w:val="14"/>
                <w:b w:val="1"/>
                <w:bCs w:val="1"/>
                <w:color w:val="auto"/>
              </w:rPr>
              <w:t>June 30, 2024</w:t>
            </w:r>
          </w:p>
        </w:tc>
        <w:tc>
          <w:tcPr>
            <w:tcW w:w="200" w:type="dxa"/>
            <w:vAlign w:val="bottom"/>
            <w:tcBorders>
              <w:bottom w:val="single" w:sz="8" w:color="2C6937"/>
            </w:tcBorders>
          </w:tcPr>
          <w:p>
            <w:pPr>
              <w:spacing w:after="0"/>
              <w:rPr>
                <w:sz w:val="24"/>
                <w:szCs w:val="24"/>
                <w:color w:val="auto"/>
              </w:rPr>
            </w:pPr>
          </w:p>
        </w:tc>
        <w:tc>
          <w:tcPr>
            <w:tcW w:w="1560" w:type="dxa"/>
            <w:vAlign w:val="bottom"/>
            <w:tcBorders>
              <w:bottom w:val="single" w:sz="8" w:color="2C6937"/>
            </w:tcBorders>
          </w:tcPr>
          <w:p>
            <w:pPr>
              <w:jc w:val="right"/>
              <w:ind w:right="183"/>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85"/>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4"/>
          </w:tcPr>
          <w:p>
            <w:pPr>
              <w:jc w:val="right"/>
              <w:ind w:right="1083"/>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9"/>
        </w:trPr>
        <w:tc>
          <w:tcPr>
            <w:tcW w:w="7640" w:type="dxa"/>
            <w:vAlign w:val="bottom"/>
            <w:gridSpan w:val="2"/>
          </w:tcPr>
          <w:p>
            <w:pPr>
              <w:ind w:left="20"/>
              <w:spacing w:after="0"/>
              <w:rPr>
                <w:sz w:val="20"/>
                <w:szCs w:val="20"/>
                <w:color w:val="auto"/>
              </w:rPr>
            </w:pPr>
            <w:r>
              <w:rPr>
                <w:rFonts w:ascii="Arial" w:cs="Arial" w:eastAsia="Arial" w:hAnsi="Arial"/>
                <w:sz w:val="15"/>
                <w:szCs w:val="15"/>
                <w:color w:val="auto"/>
              </w:rPr>
              <w:t>Total equity</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86,483</w:t>
            </w:r>
          </w:p>
        </w:tc>
        <w:tc>
          <w:tcPr>
            <w:tcW w:w="10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77,682</w:t>
            </w:r>
          </w:p>
        </w:tc>
        <w:tc>
          <w:tcPr>
            <w:tcW w:w="0" w:type="dxa"/>
            <w:vAlign w:val="bottom"/>
          </w:tcPr>
          <w:p>
            <w:pPr>
              <w:spacing w:after="0"/>
              <w:rPr>
                <w:sz w:val="1"/>
                <w:szCs w:val="1"/>
                <w:color w:val="auto"/>
              </w:rPr>
            </w:pPr>
          </w:p>
        </w:tc>
      </w:tr>
      <w:tr>
        <w:trPr>
          <w:trHeight w:val="204"/>
        </w:trPr>
        <w:tc>
          <w:tcPr>
            <w:tcW w:w="7640" w:type="dxa"/>
            <w:vAlign w:val="bottom"/>
            <w:gridSpan w:val="2"/>
          </w:tcPr>
          <w:p>
            <w:pPr>
              <w:ind w:left="20"/>
              <w:spacing w:after="0"/>
              <w:rPr>
                <w:sz w:val="20"/>
                <w:szCs w:val="20"/>
                <w:color w:val="auto"/>
              </w:rPr>
            </w:pPr>
            <w:r>
              <w:rPr>
                <w:rFonts w:ascii="Arial" w:cs="Arial" w:eastAsia="Arial" w:hAnsi="Arial"/>
                <w:sz w:val="15"/>
                <w:szCs w:val="15"/>
                <w:color w:val="auto"/>
              </w:rPr>
              <w:t>Less:</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40" w:type="dxa"/>
            <w:vAlign w:val="bottom"/>
            <w:gridSpan w:val="2"/>
          </w:tcPr>
          <w:p>
            <w:pPr>
              <w:ind w:left="340"/>
              <w:spacing w:after="0"/>
              <w:rPr>
                <w:sz w:val="20"/>
                <w:szCs w:val="20"/>
                <w:color w:val="auto"/>
              </w:rPr>
            </w:pPr>
            <w:r>
              <w:rPr>
                <w:rFonts w:ascii="Arial" w:cs="Arial" w:eastAsia="Arial" w:hAnsi="Arial"/>
                <w:sz w:val="15"/>
                <w:szCs w:val="15"/>
                <w:color w:val="auto"/>
              </w:rPr>
              <w:t>Senior preferred stock</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120,836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120,836</w:t>
            </w:r>
          </w:p>
        </w:tc>
        <w:tc>
          <w:tcPr>
            <w:tcW w:w="0" w:type="dxa"/>
            <w:vAlign w:val="bottom"/>
          </w:tcPr>
          <w:p>
            <w:pPr>
              <w:spacing w:after="0"/>
              <w:rPr>
                <w:sz w:val="1"/>
                <w:szCs w:val="1"/>
                <w:color w:val="auto"/>
              </w:rPr>
            </w:pPr>
          </w:p>
        </w:tc>
      </w:tr>
      <w:tr>
        <w:trPr>
          <w:trHeight w:val="239"/>
        </w:trPr>
        <w:tc>
          <w:tcPr>
            <w:tcW w:w="754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Preferred stock</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19,130</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19,130</w:t>
            </w:r>
          </w:p>
        </w:tc>
        <w:tc>
          <w:tcPr>
            <w:tcW w:w="0" w:type="dxa"/>
            <w:vAlign w:val="bottom"/>
          </w:tcPr>
          <w:p>
            <w:pPr>
              <w:spacing w:after="0"/>
              <w:rPr>
                <w:sz w:val="1"/>
                <w:szCs w:val="1"/>
                <w:color w:val="auto"/>
              </w:rPr>
            </w:pPr>
          </w:p>
        </w:tc>
      </w:tr>
      <w:tr>
        <w:trPr>
          <w:trHeight w:val="199"/>
        </w:trPr>
        <w:tc>
          <w:tcPr>
            <w:tcW w:w="75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Common equity</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(53,483)</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(62,284)</w:t>
            </w:r>
          </w:p>
        </w:tc>
        <w:tc>
          <w:tcPr>
            <w:tcW w:w="0" w:type="dxa"/>
            <w:vAlign w:val="bottom"/>
          </w:tcPr>
          <w:p>
            <w:pPr>
              <w:spacing w:after="0"/>
              <w:rPr>
                <w:sz w:val="1"/>
                <w:szCs w:val="1"/>
                <w:color w:val="auto"/>
              </w:rPr>
            </w:pPr>
          </w:p>
        </w:tc>
      </w:tr>
      <w:tr>
        <w:trPr>
          <w:trHeight w:val="148"/>
        </w:trPr>
        <w:tc>
          <w:tcPr>
            <w:tcW w:w="7640" w:type="dxa"/>
            <w:vAlign w:val="bottom"/>
            <w:gridSpan w:val="2"/>
          </w:tcPr>
          <w:p>
            <w:pPr>
              <w:ind w:left="340"/>
              <w:spacing w:after="0" w:line="149" w:lineRule="exact"/>
              <w:rPr>
                <w:sz w:val="20"/>
                <w:szCs w:val="20"/>
                <w:color w:val="auto"/>
              </w:rPr>
            </w:pPr>
            <w:r>
              <w:rPr>
                <w:rFonts w:ascii="Arial" w:cs="Arial" w:eastAsia="Arial" w:hAnsi="Arial"/>
                <w:sz w:val="15"/>
                <w:szCs w:val="15"/>
                <w:color w:val="auto"/>
              </w:rPr>
              <w:t>Less: deferred tax assets arising from temporary differences that exceed 10% of common equity tier 1</w:t>
            </w:r>
          </w:p>
        </w:tc>
        <w:tc>
          <w:tcPr>
            <w:tcW w:w="26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11,036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Arial" w:cs="Arial" w:eastAsia="Arial" w:hAnsi="Arial"/>
                <w:sz w:val="15"/>
                <w:szCs w:val="15"/>
                <w:color w:val="auto"/>
              </w:rPr>
              <w:t>11,681</w:t>
            </w:r>
          </w:p>
        </w:tc>
        <w:tc>
          <w:tcPr>
            <w:tcW w:w="0" w:type="dxa"/>
            <w:vAlign w:val="bottom"/>
          </w:tcPr>
          <w:p>
            <w:pPr>
              <w:spacing w:after="0"/>
              <w:rPr>
                <w:sz w:val="1"/>
                <w:szCs w:val="1"/>
                <w:color w:val="auto"/>
              </w:rPr>
            </w:pPr>
          </w:p>
        </w:tc>
      </w:tr>
      <w:tr>
        <w:trPr>
          <w:trHeight w:val="206"/>
        </w:trPr>
        <w:tc>
          <w:tcPr>
            <w:tcW w:w="7540" w:type="dxa"/>
            <w:vAlign w:val="bottom"/>
            <w:tcBorders>
              <w:bottom w:val="single" w:sz="8" w:color="2C6937"/>
            </w:tcBorders>
          </w:tcPr>
          <w:p>
            <w:pPr>
              <w:ind w:left="500"/>
              <w:spacing w:after="0"/>
              <w:rPr>
                <w:sz w:val="20"/>
                <w:szCs w:val="20"/>
                <w:color w:val="auto"/>
              </w:rPr>
            </w:pPr>
            <w:r>
              <w:rPr>
                <w:rFonts w:ascii="Arial" w:cs="Arial" w:eastAsia="Arial" w:hAnsi="Arial"/>
                <w:sz w:val="15"/>
                <w:szCs w:val="15"/>
                <w:color w:val="auto"/>
              </w:rPr>
              <w:t>capital and other regulatory adjustments</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Common equity tier 1 capital (deficit)</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(64,519)</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(73,965)</w:t>
            </w:r>
          </w:p>
        </w:tc>
        <w:tc>
          <w:tcPr>
            <w:tcW w:w="0" w:type="dxa"/>
            <w:vAlign w:val="bottom"/>
          </w:tcPr>
          <w:p>
            <w:pPr>
              <w:spacing w:after="0"/>
              <w:rPr>
                <w:sz w:val="1"/>
                <w:szCs w:val="1"/>
                <w:color w:val="auto"/>
              </w:rPr>
            </w:pPr>
          </w:p>
        </w:tc>
      </w:tr>
      <w:tr>
        <w:trPr>
          <w:trHeight w:val="199"/>
        </w:trPr>
        <w:tc>
          <w:tcPr>
            <w:tcW w:w="754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Add: perpetual, noncumulative preferred stock</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19,130</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19,130</w:t>
            </w:r>
          </w:p>
        </w:tc>
        <w:tc>
          <w:tcPr>
            <w:tcW w:w="0" w:type="dxa"/>
            <w:vAlign w:val="bottom"/>
          </w:tcPr>
          <w:p>
            <w:pPr>
              <w:spacing w:after="0"/>
              <w:rPr>
                <w:sz w:val="1"/>
                <w:szCs w:val="1"/>
                <w:color w:val="auto"/>
              </w:rPr>
            </w:pPr>
          </w:p>
        </w:tc>
      </w:tr>
      <w:tr>
        <w:trPr>
          <w:trHeight w:val="199"/>
        </w:trPr>
        <w:tc>
          <w:tcPr>
            <w:tcW w:w="75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Tier 1 capital (deficit)</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(45,389)</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(54,835)</w:t>
            </w:r>
          </w:p>
        </w:tc>
        <w:tc>
          <w:tcPr>
            <w:tcW w:w="0" w:type="dxa"/>
            <w:vAlign w:val="bottom"/>
          </w:tcPr>
          <w:p>
            <w:pPr>
              <w:spacing w:after="0"/>
              <w:rPr>
                <w:sz w:val="1"/>
                <w:szCs w:val="1"/>
                <w:color w:val="auto"/>
              </w:rPr>
            </w:pPr>
          </w:p>
        </w:tc>
      </w:tr>
      <w:tr>
        <w:trPr>
          <w:trHeight w:val="199"/>
        </w:trPr>
        <w:tc>
          <w:tcPr>
            <w:tcW w:w="75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Tier 2 capital adjustments</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640" w:type="dxa"/>
            <w:vAlign w:val="bottom"/>
            <w:gridSpan w:val="2"/>
          </w:tcPr>
          <w:p>
            <w:pPr>
              <w:ind w:left="20"/>
              <w:spacing w:after="0"/>
              <w:rPr>
                <w:sz w:val="20"/>
                <w:szCs w:val="20"/>
                <w:color w:val="auto"/>
              </w:rPr>
            </w:pPr>
            <w:r>
              <w:rPr>
                <w:rFonts w:ascii="Arial" w:cs="Arial" w:eastAsia="Arial" w:hAnsi="Arial"/>
                <w:sz w:val="15"/>
                <w:szCs w:val="15"/>
                <w:color w:val="auto"/>
              </w:rPr>
              <w:t>Adjusted total capital (deficit)</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(45,389)</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(54,835)</w:t>
            </w:r>
          </w:p>
        </w:tc>
        <w:tc>
          <w:tcPr>
            <w:tcW w:w="0" w:type="dxa"/>
            <w:vAlign w:val="bottom"/>
          </w:tcPr>
          <w:p>
            <w:pPr>
              <w:spacing w:after="0"/>
              <w:rPr>
                <w:sz w:val="1"/>
                <w:szCs w:val="1"/>
                <w:color w:val="auto"/>
              </w:rPr>
            </w:pPr>
          </w:p>
        </w:tc>
      </w:tr>
      <w:tr>
        <w:trPr>
          <w:trHeight w:val="20"/>
        </w:trPr>
        <w:tc>
          <w:tcPr>
            <w:tcW w:w="75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4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core capital.</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Statutory Capital Components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54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280" w:type="dxa"/>
            <w:vAlign w:val="bottom"/>
            <w:tcBorders>
              <w:top w:val="single" w:sz="8" w:color="2C6937"/>
              <w:bottom w:val="single" w:sz="8" w:color="2C6937"/>
            </w:tcBorders>
          </w:tcPr>
          <w:p>
            <w:pPr>
              <w:spacing w:after="0"/>
              <w:rPr>
                <w:sz w:val="17"/>
                <w:szCs w:val="17"/>
                <w:color w:val="auto"/>
              </w:rPr>
            </w:pPr>
          </w:p>
        </w:tc>
        <w:tc>
          <w:tcPr>
            <w:tcW w:w="1780" w:type="dxa"/>
            <w:vAlign w:val="bottom"/>
            <w:tcBorders>
              <w:top w:val="single" w:sz="8" w:color="2C6937"/>
              <w:bottom w:val="single" w:sz="8" w:color="2C6937"/>
            </w:tcBorders>
            <w:gridSpan w:val="3"/>
          </w:tcPr>
          <w:p>
            <w:pPr>
              <w:jc w:val="right"/>
              <w:ind w:right="3"/>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top w:val="single" w:sz="8" w:color="2C6937"/>
              <w:bottom w:val="single" w:sz="8" w:color="2C6937"/>
            </w:tcBorders>
          </w:tcPr>
          <w:p>
            <w:pPr>
              <w:spacing w:after="0"/>
              <w:rPr>
                <w:sz w:val="17"/>
                <w:szCs w:val="17"/>
                <w:color w:val="auto"/>
              </w:rPr>
            </w:pPr>
          </w:p>
        </w:tc>
      </w:tr>
      <w:tr>
        <w:trPr>
          <w:trHeight w:val="186"/>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gridSpan w:val="2"/>
          </w:tcPr>
          <w:p>
            <w:pPr>
              <w:ind w:left="160"/>
              <w:spacing w:after="0"/>
              <w:rPr>
                <w:sz w:val="20"/>
                <w:szCs w:val="20"/>
                <w:color w:val="auto"/>
              </w:rPr>
            </w:pPr>
            <w:r>
              <w:rPr>
                <w:rFonts w:ascii="Arial" w:cs="Arial" w:eastAsia="Arial" w:hAnsi="Arial"/>
                <w:sz w:val="14"/>
                <w:szCs w:val="14"/>
                <w:b w:val="1"/>
                <w:bCs w:val="1"/>
                <w:color w:val="auto"/>
              </w:rPr>
              <w:t>June 30, 2024</w:t>
            </w:r>
          </w:p>
        </w:tc>
        <w:tc>
          <w:tcPr>
            <w:tcW w:w="20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tcPr>
          <w:p>
            <w:pPr>
              <w:jc w:val="right"/>
              <w:ind w:right="184"/>
              <w:spacing w:after="0"/>
              <w:rPr>
                <w:sz w:val="20"/>
                <w:szCs w:val="20"/>
                <w:color w:val="auto"/>
              </w:rPr>
            </w:pPr>
            <w:r>
              <w:rPr>
                <w:rFonts w:ascii="Arial" w:cs="Arial" w:eastAsia="Arial" w:hAnsi="Arial"/>
                <w:sz w:val="14"/>
                <w:szCs w:val="14"/>
                <w:b w:val="1"/>
                <w:bCs w:val="1"/>
                <w:color w:val="auto"/>
              </w:rPr>
              <w:t>December 31, 2023</w:t>
            </w:r>
          </w:p>
        </w:tc>
      </w:tr>
      <w:tr>
        <w:trPr>
          <w:trHeight w:val="185"/>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gridSpan w:val="4"/>
          </w:tcPr>
          <w:p>
            <w:pPr>
              <w:jc w:val="right"/>
              <w:ind w:right="1084"/>
              <w:spacing w:after="0"/>
              <w:rPr>
                <w:sz w:val="20"/>
                <w:szCs w:val="20"/>
                <w:color w:val="auto"/>
              </w:rPr>
            </w:pPr>
            <w:r>
              <w:rPr>
                <w:rFonts w:ascii="Arial" w:cs="Arial" w:eastAsia="Arial" w:hAnsi="Arial"/>
                <w:sz w:val="14"/>
                <w:szCs w:val="14"/>
                <w:b w:val="1"/>
                <w:bCs w:val="1"/>
                <w:color w:val="auto"/>
              </w:rPr>
              <w:t>(Dollars in millions)</w:t>
            </w:r>
          </w:p>
        </w:tc>
      </w:tr>
      <w:tr>
        <w:trPr>
          <w:trHeight w:val="209"/>
        </w:trPr>
        <w:tc>
          <w:tcPr>
            <w:tcW w:w="7620" w:type="dxa"/>
            <w:vAlign w:val="bottom"/>
            <w:gridSpan w:val="2"/>
          </w:tcPr>
          <w:p>
            <w:pPr>
              <w:ind w:left="20"/>
              <w:spacing w:after="0"/>
              <w:rPr>
                <w:sz w:val="20"/>
                <w:szCs w:val="20"/>
                <w:color w:val="auto"/>
              </w:rPr>
            </w:pPr>
            <w:r>
              <w:rPr>
                <w:rFonts w:ascii="Arial" w:cs="Arial" w:eastAsia="Arial" w:hAnsi="Arial"/>
                <w:sz w:val="15"/>
                <w:szCs w:val="15"/>
                <w:color w:val="auto"/>
              </w:rPr>
              <w:t>Total equity</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86,483</w:t>
            </w:r>
          </w:p>
        </w:tc>
        <w:tc>
          <w:tcPr>
            <w:tcW w:w="10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77,682</w:t>
            </w:r>
          </w:p>
        </w:tc>
      </w:tr>
      <w:tr>
        <w:trPr>
          <w:trHeight w:val="204"/>
        </w:trPr>
        <w:tc>
          <w:tcPr>
            <w:tcW w:w="7620" w:type="dxa"/>
            <w:vAlign w:val="bottom"/>
            <w:gridSpan w:val="2"/>
          </w:tcPr>
          <w:p>
            <w:pPr>
              <w:ind w:left="20"/>
              <w:spacing w:after="0"/>
              <w:rPr>
                <w:sz w:val="20"/>
                <w:szCs w:val="20"/>
                <w:color w:val="auto"/>
              </w:rPr>
            </w:pPr>
            <w:r>
              <w:rPr>
                <w:rFonts w:ascii="Arial" w:cs="Arial" w:eastAsia="Arial" w:hAnsi="Arial"/>
                <w:sz w:val="15"/>
                <w:szCs w:val="15"/>
                <w:color w:val="auto"/>
              </w:rPr>
              <w:t>Less:</w:t>
            </w: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4"/>
        </w:trPr>
        <w:tc>
          <w:tcPr>
            <w:tcW w:w="7620" w:type="dxa"/>
            <w:vAlign w:val="bottom"/>
            <w:gridSpan w:val="2"/>
          </w:tcPr>
          <w:p>
            <w:pPr>
              <w:ind w:left="340"/>
              <w:spacing w:after="0"/>
              <w:rPr>
                <w:sz w:val="20"/>
                <w:szCs w:val="20"/>
                <w:color w:val="auto"/>
              </w:rPr>
            </w:pPr>
            <w:r>
              <w:rPr>
                <w:rFonts w:ascii="Arial" w:cs="Arial" w:eastAsia="Arial" w:hAnsi="Arial"/>
                <w:sz w:val="15"/>
                <w:szCs w:val="15"/>
                <w:color w:val="auto"/>
              </w:rPr>
              <w:t>Senior preferred stock</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120,836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120,836</w:t>
            </w:r>
          </w:p>
        </w:tc>
      </w:tr>
      <w:tr>
        <w:trPr>
          <w:trHeight w:val="251"/>
        </w:trPr>
        <w:tc>
          <w:tcPr>
            <w:tcW w:w="754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Accumulated other comprehensive income (loss), net of taxes</w:t>
            </w:r>
          </w:p>
        </w:tc>
        <w:tc>
          <w:tcPr>
            <w:tcW w:w="80" w:type="dxa"/>
            <w:vAlign w:val="bottom"/>
          </w:tcPr>
          <w:p>
            <w:pPr>
              <w:spacing w:after="0"/>
              <w:rPr>
                <w:sz w:val="21"/>
                <w:szCs w:val="21"/>
                <w:color w:val="auto"/>
              </w:rPr>
            </w:pPr>
          </w:p>
        </w:tc>
        <w:tc>
          <w:tcPr>
            <w:tcW w:w="280" w:type="dxa"/>
            <w:vAlign w:val="bottom"/>
            <w:tcBorders>
              <w:bottom w:val="single" w:sz="8" w:color="2C6937"/>
            </w:tcBorders>
          </w:tcPr>
          <w:p>
            <w:pPr>
              <w:spacing w:after="0"/>
              <w:rPr>
                <w:sz w:val="21"/>
                <w:szCs w:val="21"/>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29</w:t>
            </w:r>
          </w:p>
        </w:tc>
        <w:tc>
          <w:tcPr>
            <w:tcW w:w="10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w:t>
            </w:r>
          </w:p>
        </w:tc>
      </w:tr>
      <w:tr>
        <w:trPr>
          <w:trHeight w:val="199"/>
        </w:trPr>
        <w:tc>
          <w:tcPr>
            <w:tcW w:w="75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Core capital (deficit)</w:t>
            </w:r>
          </w:p>
        </w:tc>
        <w:tc>
          <w:tcPr>
            <w:tcW w:w="80" w:type="dxa"/>
            <w:vAlign w:val="bottom"/>
          </w:tcPr>
          <w:p>
            <w:pPr>
              <w:spacing w:after="0"/>
              <w:rPr>
                <w:sz w:val="17"/>
                <w:szCs w:val="17"/>
                <w:color w:val="auto"/>
              </w:rPr>
            </w:pPr>
          </w:p>
        </w:tc>
        <w:tc>
          <w:tcPr>
            <w:tcW w:w="28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(34,382)</w:t>
            </w:r>
          </w:p>
        </w:tc>
        <w:tc>
          <w:tcPr>
            <w:tcW w:w="100" w:type="dxa"/>
            <w:vAlign w:val="bottom"/>
          </w:tcPr>
          <w:p>
            <w:pPr>
              <w:spacing w:after="0"/>
              <w:rPr>
                <w:sz w:val="17"/>
                <w:szCs w:val="17"/>
                <w:color w:val="auto"/>
              </w:rPr>
            </w:pPr>
          </w:p>
        </w:tc>
        <w:tc>
          <w:tcPr>
            <w:tcW w:w="200" w:type="dxa"/>
            <w:vAlign w:val="bottom"/>
            <w:tcBorders>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(43,186)</w:t>
            </w:r>
          </w:p>
        </w:tc>
      </w:tr>
      <w:tr>
        <w:trPr>
          <w:trHeight w:val="20"/>
        </w:trPr>
        <w:tc>
          <w:tcPr>
            <w:tcW w:w="75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14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560" w:type="dxa"/>
            <w:vAlign w:val="bottom"/>
            <w:tcBorders>
              <w:bottom w:val="single" w:sz="8" w:color="2C6937"/>
            </w:tcBorders>
          </w:tcPr>
          <w:p>
            <w:pPr>
              <w:spacing w:after="0" w:line="20" w:lineRule="exact"/>
              <w:rPr>
                <w:sz w:val="1"/>
                <w:szCs w:val="1"/>
                <w:color w:val="auto"/>
              </w:rPr>
            </w:pPr>
          </w:p>
        </w:tc>
      </w:tr>
      <w:tr>
        <w:trPr>
          <w:trHeight w:val="198"/>
        </w:trPr>
        <w:tc>
          <w:tcPr>
            <w:tcW w:w="754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Less: general allowance for foreclosure losses</w:t>
            </w:r>
          </w:p>
        </w:tc>
        <w:tc>
          <w:tcPr>
            <w:tcW w:w="8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(8,227)</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(8,934)</w:t>
            </w:r>
          </w:p>
        </w:tc>
      </w:tr>
      <w:tr>
        <w:trPr>
          <w:trHeight w:val="199"/>
        </w:trPr>
        <w:tc>
          <w:tcPr>
            <w:tcW w:w="7620" w:type="dxa"/>
            <w:vAlign w:val="bottom"/>
            <w:gridSpan w:val="2"/>
          </w:tcPr>
          <w:p>
            <w:pPr>
              <w:ind w:left="20"/>
              <w:spacing w:after="0"/>
              <w:rPr>
                <w:sz w:val="20"/>
                <w:szCs w:val="20"/>
                <w:color w:val="auto"/>
              </w:rPr>
            </w:pPr>
            <w:r>
              <w:rPr>
                <w:rFonts w:ascii="Arial" w:cs="Arial" w:eastAsia="Arial" w:hAnsi="Arial"/>
                <w:sz w:val="15"/>
                <w:szCs w:val="15"/>
                <w:color w:val="auto"/>
              </w:rPr>
              <w:t>Total capital (deficit)</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(26,155)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(34,252)</w:t>
            </w:r>
          </w:p>
        </w:tc>
      </w:tr>
      <w:tr>
        <w:trPr>
          <w:trHeight w:val="20"/>
        </w:trPr>
        <w:tc>
          <w:tcPr>
            <w:tcW w:w="75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14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4" w:name="page55"/>
    <w:bookmarkEnd w:id="54"/>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Capital Activity</w:t>
      </w:r>
    </w:p>
    <w:p>
      <w:pPr>
        <w:spacing w:after="0" w:line="8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Under the terms governing the senior preferred stock, no dividends were payable to Treasury for the second quarter of 2024 and none are payable for the third quarter of 2024.</w:t>
      </w:r>
    </w:p>
    <w:p>
      <w:pPr>
        <w:spacing w:after="0" w:line="15"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Under the terms governing the senior preferred stock, through and including the capital reserve end date, any increase in our net worth during a fiscal quarter results in an increase of the same amount in the aggregate liquidation preference of the senior preferred stock in the following quarter. The capital reserve end date is defined as the last day of the second consecutive fiscal quarter during which we have had and maintained capital equal to, or in excess of, all of the capital requirements and buffers under the enterprise regulatory capital framework.</w:t>
      </w:r>
    </w:p>
    <w:p>
      <w:pPr>
        <w:spacing w:after="0" w:line="59"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As a result of these terms governing the senior preferred stock, the aggregate liquidation preference of the senior preferred stock increased to $203.5 billion as of June 30, 2024 from $199.2 billion as of March 31, 2024, due to the $4.3 billion increase in our net worth in the first quarter of 2024. The aggregate liquidation preference of the senior preferred stock will further increase to $208.0 billion as of September 30, 2024, due to the $4.5 billion increase in our net worth in the second quarter of 2024. See “Business—Conservatorship and Treasury Agreements—Treasury Agreements” in our 2023 Form 10-K for more information on the terms of our senior preferred stock, including how the aggregate liquidation preference is determined.</w:t>
      </w:r>
    </w:p>
    <w:p>
      <w:pPr>
        <w:spacing w:after="0" w:line="53"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Increases in our net worth improve our capital position and our ability to absorb losses; however, increases in our net worth also increase the aggregate liquidation preference of the senior preferred stock by the same amount until the capital reserve end date as discussed above.</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Treasury Funding Commitment</w:t>
      </w:r>
    </w:p>
    <w:p>
      <w:pPr>
        <w:spacing w:after="0" w:line="8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Treasury made a commitment under the senior preferred stock purchase agreement to provide funding to us under certain circumstances if we have a net worth deficit. As of June 30, 2024, the remaining amount of Treasury’s funding commitment to us was $113.9 billion. See “Note 2, Conservatorship, Senior Preferred Stock Purchase Agreement and Related Matters” in our 2023 Form 10-K for more information on Treasury’s funding commitment under the senior preferred stock purchase agreement.</w:t>
      </w:r>
    </w:p>
    <w:p>
      <w:pPr>
        <w:spacing w:after="0" w:line="13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Our business activities expose us to the following major categories of risk: credit risk (including mortgage credit risk and institutional counterparty credit risk), market risk (including interest-rate risk), liquidity and funding risk, operational risk (including cyber/information security risk and third-party risk) and model risk, as well as strategic risk, compliance risk and reputational risk. We are also exposed to climate risk, which we view as a cross-cutting risk that can impact a variety of our existing risk categories, particularly credit risk. See “MD&amp;A—Risk Management” in our 2023 Form 10-K for a discussion of our management of these risks. This section supplements and updates that discussion but does not address all of the risk management categories described in our 2023 Form 10-K.</w:t>
      </w:r>
    </w:p>
    <w:p>
      <w:pPr>
        <w:spacing w:after="0" w:line="10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Market Risk Management, including Interest-Rate Risk Management</w:t>
      </w:r>
    </w:p>
    <w:p>
      <w:pPr>
        <w:spacing w:after="0" w:line="6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are subject to market risk, which includes interest-rate risk and spread risk. These risks arise primarily from our mortgage asset investments. Interest-rate risk is the risk that movements in interest rates will adversely affect the value of our assets or liabilities or our future earnings or capital. Spread risk is the risk from changes in an instrument’s value that relate to factors other than changes in interest rates. We do not currently actively manage or hedge, on an economic basis, our spread risk, or the interest-rate risk arising from cost basis adjustments and float income associated with mortgage assets held by our consolidated MBS trusts. See “MD&amp;A—Risk Management—Market Risk Management, including Interest-Rate Risk Management” and “Risk Factors— Market and Industry Risk” in our 2023 Form 10-K for additional information, including our sources of interest-rate risk exposure, business risks posed by changes in interest rates, and our strategy for managing interest-rate risk. For additional information on the impact of interest-rate risk on our earnings, see “Earnings Exposure to Interest-Rate Risk”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52</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5" w:name="page56"/>
    <w:bookmarkEnd w:id="55"/>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Measurement of Interest-Rate Risk</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table below displays the pre-tax market value sensitivity of our net portfolio to changes in the level of interest rates and the slope of the applicable yield curve as measured on the last day of each period presented. We collectively define our net portfolio as: our retained mortgage portfolio assets; our corporate liquidity portfolio; outstanding debt of Fannie Mae used to fund the retained mortgage portfolio assets and corporate liquidity portfolio; mortgage commitments; and risk management derivatives. The table below also provides the daily average, minimum, maximum and standard deviation values for duration gap and for the most adverse market value impact on the net portfolio to changes in the level of interest rates and the slope of the applicable yield curve for the three months ended June 30, 2024 and 2023. Our practice is to allow interest rates to go below zero in the downward shock models unless otherwise prevented through contractual floors.</w:t>
      </w:r>
    </w:p>
    <w:p>
      <w:pPr>
        <w:spacing w:after="0" w:line="43"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color w:val="auto"/>
        </w:rPr>
        <w:t>For information on how we measure our interest-rate risk, see “MD&amp;A—Risk Management—Market Risk Management, including Interest-Rate Risk Management” in our 2023 Form 10-K.</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Interest-Rate Sensitivity of Net Portfolio to Changes in Interest-Rate Level and Slope of Yield Curve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960" w:type="dxa"/>
            <w:vAlign w:val="bottom"/>
            <w:tcBorders>
              <w:top w:val="single" w:sz="8" w:color="2C6937"/>
            </w:tcBorders>
          </w:tcPr>
          <w:p>
            <w:pPr>
              <w:spacing w:after="0"/>
              <w:rPr>
                <w:sz w:val="19"/>
                <w:szCs w:val="19"/>
                <w:color w:val="auto"/>
              </w:rPr>
            </w:pPr>
          </w:p>
        </w:tc>
        <w:tc>
          <w:tcPr>
            <w:tcW w:w="1100" w:type="dxa"/>
            <w:vAlign w:val="bottom"/>
            <w:tcBorders>
              <w:top w:val="single" w:sz="8" w:color="2C6937"/>
            </w:tcBorders>
          </w:tcPr>
          <w:p>
            <w:pPr>
              <w:spacing w:after="0"/>
              <w:rPr>
                <w:sz w:val="19"/>
                <w:szCs w:val="19"/>
                <w:color w:val="auto"/>
              </w:rPr>
            </w:pPr>
          </w:p>
        </w:tc>
        <w:tc>
          <w:tcPr>
            <w:tcW w:w="100" w:type="dxa"/>
            <w:vAlign w:val="bottom"/>
            <w:tcBorders>
              <w:top w:val="single" w:sz="8" w:color="2C6937"/>
            </w:tcBorders>
          </w:tcPr>
          <w:p>
            <w:pPr>
              <w:spacing w:after="0"/>
              <w:rPr>
                <w:sz w:val="19"/>
                <w:szCs w:val="19"/>
                <w:color w:val="auto"/>
              </w:rPr>
            </w:pPr>
          </w:p>
        </w:tc>
        <w:tc>
          <w:tcPr>
            <w:tcW w:w="460" w:type="dxa"/>
            <w:vAlign w:val="bottom"/>
            <w:tcBorders>
              <w:top w:val="single" w:sz="8" w:color="2C6937"/>
            </w:tcBorders>
          </w:tcPr>
          <w:p>
            <w:pPr>
              <w:spacing w:after="0"/>
              <w:rPr>
                <w:sz w:val="19"/>
                <w:szCs w:val="19"/>
                <w:color w:val="auto"/>
              </w:rPr>
            </w:pPr>
          </w:p>
        </w:tc>
        <w:tc>
          <w:tcPr>
            <w:tcW w:w="920" w:type="dxa"/>
            <w:vAlign w:val="bottom"/>
            <w:tcBorders>
              <w:top w:val="single" w:sz="8" w:color="2C6937"/>
            </w:tcBorders>
          </w:tcPr>
          <w:p>
            <w:pPr>
              <w:spacing w:after="0"/>
              <w:rPr>
                <w:sz w:val="19"/>
                <w:szCs w:val="19"/>
                <w:color w:val="auto"/>
              </w:rPr>
            </w:pPr>
          </w:p>
        </w:tc>
        <w:tc>
          <w:tcPr>
            <w:tcW w:w="860" w:type="dxa"/>
            <w:vAlign w:val="bottom"/>
            <w:tcBorders>
              <w:top w:val="single" w:sz="8" w:color="2C6937"/>
            </w:tcBorders>
          </w:tcPr>
          <w:p>
            <w:pPr>
              <w:spacing w:after="0"/>
              <w:rPr>
                <w:sz w:val="19"/>
                <w:szCs w:val="19"/>
                <w:color w:val="auto"/>
              </w:rPr>
            </w:pPr>
          </w:p>
        </w:tc>
        <w:tc>
          <w:tcPr>
            <w:tcW w:w="640" w:type="dxa"/>
            <w:vAlign w:val="bottom"/>
            <w:tcBorders>
              <w:top w:val="single" w:sz="8" w:color="2C6937"/>
            </w:tcBorders>
          </w:tcPr>
          <w:p>
            <w:pPr>
              <w:spacing w:after="0"/>
              <w:rPr>
                <w:sz w:val="19"/>
                <w:szCs w:val="19"/>
                <w:color w:val="auto"/>
              </w:rPr>
            </w:pPr>
          </w:p>
        </w:tc>
        <w:tc>
          <w:tcPr>
            <w:tcW w:w="140" w:type="dxa"/>
            <w:vAlign w:val="bottom"/>
            <w:tcBorders>
              <w:top w:val="single" w:sz="8" w:color="2C6937"/>
            </w:tcBorders>
          </w:tcPr>
          <w:p>
            <w:pPr>
              <w:spacing w:after="0"/>
              <w:rPr>
                <w:sz w:val="19"/>
                <w:szCs w:val="19"/>
                <w:color w:val="auto"/>
              </w:rPr>
            </w:pPr>
          </w:p>
        </w:tc>
        <w:tc>
          <w:tcPr>
            <w:tcW w:w="180" w:type="dxa"/>
            <w:vAlign w:val="bottom"/>
            <w:tcBorders>
              <w:top w:val="single" w:sz="8" w:color="2C6937"/>
            </w:tcBorders>
          </w:tcPr>
          <w:p>
            <w:pPr>
              <w:spacing w:after="0"/>
              <w:rPr>
                <w:sz w:val="19"/>
                <w:szCs w:val="19"/>
                <w:color w:val="auto"/>
              </w:rPr>
            </w:pPr>
          </w:p>
        </w:tc>
        <w:tc>
          <w:tcPr>
            <w:tcW w:w="940" w:type="dxa"/>
            <w:vAlign w:val="bottom"/>
            <w:tcBorders>
              <w:top w:val="single" w:sz="8" w:color="2C6937"/>
              <w:bottom w:val="single" w:sz="8" w:color="2C6937"/>
            </w:tcBorders>
          </w:tcPr>
          <w:p>
            <w:pPr>
              <w:spacing w:after="0"/>
              <w:rPr>
                <w:sz w:val="19"/>
                <w:szCs w:val="19"/>
                <w:color w:val="auto"/>
              </w:rPr>
            </w:pPr>
          </w:p>
        </w:tc>
        <w:tc>
          <w:tcPr>
            <w:tcW w:w="100" w:type="dxa"/>
            <w:vAlign w:val="bottom"/>
            <w:tcBorders>
              <w:top w:val="single" w:sz="8" w:color="2C6937"/>
              <w:bottom w:val="single" w:sz="8" w:color="2C6937"/>
            </w:tcBorders>
          </w:tcPr>
          <w:p>
            <w:pPr>
              <w:spacing w:after="0"/>
              <w:rPr>
                <w:sz w:val="19"/>
                <w:szCs w:val="19"/>
                <w:color w:val="auto"/>
              </w:rPr>
            </w:pPr>
          </w:p>
        </w:tc>
        <w:tc>
          <w:tcPr>
            <w:tcW w:w="60" w:type="dxa"/>
            <w:vAlign w:val="bottom"/>
            <w:tcBorders>
              <w:top w:val="single" w:sz="8" w:color="2C6937"/>
              <w:bottom w:val="single" w:sz="8" w:color="2C6937"/>
            </w:tcBorders>
          </w:tcPr>
          <w:p>
            <w:pPr>
              <w:spacing w:after="0"/>
              <w:rPr>
                <w:sz w:val="19"/>
                <w:szCs w:val="19"/>
                <w:color w:val="auto"/>
              </w:rPr>
            </w:pPr>
          </w:p>
        </w:tc>
        <w:tc>
          <w:tcPr>
            <w:tcW w:w="300" w:type="dxa"/>
            <w:vAlign w:val="bottom"/>
            <w:tcBorders>
              <w:top w:val="single" w:sz="8" w:color="2C6937"/>
              <w:bottom w:val="single" w:sz="8" w:color="2C6937"/>
            </w:tcBorders>
          </w:tcPr>
          <w:p>
            <w:pPr>
              <w:spacing w:after="0"/>
              <w:rPr>
                <w:sz w:val="19"/>
                <w:szCs w:val="19"/>
                <w:color w:val="auto"/>
              </w:rPr>
            </w:pPr>
          </w:p>
        </w:tc>
        <w:tc>
          <w:tcPr>
            <w:tcW w:w="100" w:type="dxa"/>
            <w:vAlign w:val="bottom"/>
            <w:tcBorders>
              <w:top w:val="single" w:sz="8" w:color="2C6937"/>
              <w:bottom w:val="single" w:sz="8" w:color="2C6937"/>
            </w:tcBorders>
          </w:tcPr>
          <w:p>
            <w:pPr>
              <w:spacing w:after="0"/>
              <w:rPr>
                <w:sz w:val="19"/>
                <w:szCs w:val="19"/>
                <w:color w:val="auto"/>
              </w:rPr>
            </w:pPr>
          </w:p>
        </w:tc>
        <w:tc>
          <w:tcPr>
            <w:tcW w:w="820" w:type="dxa"/>
            <w:vAlign w:val="bottom"/>
            <w:tcBorders>
              <w:top w:val="single" w:sz="8" w:color="2C6937"/>
              <w:bottom w:val="single" w:sz="8" w:color="2C6937"/>
            </w:tcBorders>
          </w:tcPr>
          <w:p>
            <w:pPr>
              <w:jc w:val="center"/>
              <w:spacing w:after="0" w:line="218" w:lineRule="exact"/>
              <w:rPr>
                <w:sz w:val="20"/>
                <w:szCs w:val="20"/>
                <w:color w:val="auto"/>
              </w:rPr>
            </w:pPr>
            <w:r>
              <w:rPr>
                <w:rFonts w:ascii="Arial" w:cs="Arial" w:eastAsia="Arial" w:hAnsi="Arial"/>
                <w:sz w:val="25"/>
                <w:szCs w:val="25"/>
                <w:b w:val="1"/>
                <w:bCs w:val="1"/>
                <w:color w:val="auto"/>
                <w:w w:val="87"/>
                <w:vertAlign w:val="subscript"/>
              </w:rPr>
              <w:t>As of</w:t>
            </w:r>
            <w:r>
              <w:rPr>
                <w:rFonts w:ascii="Arial" w:cs="Arial" w:eastAsia="Arial" w:hAnsi="Arial"/>
                <w:sz w:val="9"/>
                <w:szCs w:val="9"/>
                <w:b w:val="1"/>
                <w:bCs w:val="1"/>
                <w:color w:val="auto"/>
                <w:w w:val="87"/>
              </w:rPr>
              <w:t>(1)(2)</w:t>
            </w:r>
          </w:p>
        </w:tc>
        <w:tc>
          <w:tcPr>
            <w:tcW w:w="700" w:type="dxa"/>
            <w:vAlign w:val="bottom"/>
            <w:tcBorders>
              <w:top w:val="single" w:sz="8" w:color="2C6937"/>
              <w:bottom w:val="single" w:sz="8" w:color="2C6937"/>
            </w:tcBorders>
          </w:tcPr>
          <w:p>
            <w:pPr>
              <w:spacing w:after="0"/>
              <w:rPr>
                <w:sz w:val="19"/>
                <w:szCs w:val="19"/>
                <w:color w:val="auto"/>
              </w:rPr>
            </w:pPr>
          </w:p>
        </w:tc>
        <w:tc>
          <w:tcPr>
            <w:tcW w:w="860" w:type="dxa"/>
            <w:vAlign w:val="bottom"/>
            <w:tcBorders>
              <w:top w:val="single" w:sz="8" w:color="2C6937"/>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Borders>
              <w:bottom w:val="single" w:sz="8" w:color="2C6937"/>
            </w:tcBorders>
            <w:gridSpan w:val="4"/>
          </w:tcPr>
          <w:p>
            <w:pPr>
              <w:jc w:val="right"/>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gridSpan w:val="2"/>
          </w:tcPr>
          <w:p>
            <w:pPr>
              <w:jc w:val="right"/>
              <w:ind w:right="243"/>
              <w:spacing w:after="0"/>
              <w:rPr>
                <w:sz w:val="20"/>
                <w:szCs w:val="20"/>
                <w:color w:val="auto"/>
              </w:rPr>
            </w:pPr>
            <w:r>
              <w:rPr>
                <w:rFonts w:ascii="Arial" w:cs="Arial" w:eastAsia="Arial" w:hAnsi="Arial"/>
                <w:sz w:val="14"/>
                <w:szCs w:val="14"/>
                <w:b w:val="1"/>
                <w:bCs w:val="1"/>
                <w:color w:val="auto"/>
                <w:w w:val="96"/>
              </w:rPr>
              <w:t>December 31, 2023</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20" w:type="dxa"/>
            <w:vAlign w:val="bottom"/>
            <w:gridSpan w:val="4"/>
          </w:tcPr>
          <w:p>
            <w:pPr>
              <w:jc w:val="center"/>
              <w:ind w:right="167"/>
              <w:spacing w:after="0"/>
              <w:rPr>
                <w:sz w:val="20"/>
                <w:szCs w:val="20"/>
                <w:color w:val="auto"/>
              </w:rPr>
            </w:pPr>
            <w:r>
              <w:rPr>
                <w:rFonts w:ascii="Arial" w:cs="Arial" w:eastAsia="Arial" w:hAnsi="Arial"/>
                <w:sz w:val="14"/>
                <w:szCs w:val="14"/>
                <w:b w:val="1"/>
                <w:bCs w:val="1"/>
                <w:color w:val="auto"/>
                <w:w w:val="98"/>
              </w:rPr>
              <w:t>(Dollars 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level shock:</w:t>
            </w:r>
          </w:p>
        </w:tc>
        <w:tc>
          <w:tcPr>
            <w:tcW w:w="1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6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08"/>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68</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jc w:val="right"/>
              <w:ind w:right="387"/>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43"/>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06"/>
        </w:trPr>
        <w:tc>
          <w:tcPr>
            <w:tcW w:w="296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32</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jc w:val="right"/>
              <w:ind w:right="443"/>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6"/>
        </w:trPr>
        <w:tc>
          <w:tcPr>
            <w:tcW w:w="296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(29)</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jc w:val="right"/>
              <w:ind w:right="403"/>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8"/>
        </w:trPr>
        <w:tc>
          <w:tcPr>
            <w:tcW w:w="296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(50)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ind w:right="403"/>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204"/>
        </w:trPr>
        <w:tc>
          <w:tcPr>
            <w:tcW w:w="2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slope shock:</w:t>
            </w:r>
          </w:p>
        </w:tc>
        <w:tc>
          <w:tcPr>
            <w:tcW w:w="1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60" w:type="dxa"/>
            <w:vAlign w:val="bottom"/>
          </w:tcPr>
          <w:p>
            <w:pPr>
              <w:ind w:left="180"/>
              <w:spacing w:after="0"/>
              <w:rPr>
                <w:sz w:val="20"/>
                <w:szCs w:val="20"/>
                <w:color w:val="auto"/>
              </w:rPr>
            </w:pPr>
            <w:r>
              <w:rPr>
                <w:rFonts w:ascii="Arial" w:cs="Arial" w:eastAsia="Arial" w:hAnsi="Arial"/>
                <w:sz w:val="15"/>
                <w:szCs w:val="15"/>
                <w:color w:val="auto"/>
              </w:rPr>
              <w:t>-25 basis points (flattening)</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jc w:val="right"/>
              <w:ind w:right="403"/>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4"/>
        </w:trPr>
        <w:tc>
          <w:tcPr>
            <w:tcW w:w="2960" w:type="dxa"/>
            <w:vAlign w:val="bottom"/>
          </w:tcPr>
          <w:p>
            <w:pPr>
              <w:ind w:left="180"/>
              <w:spacing w:after="0"/>
              <w:rPr>
                <w:sz w:val="20"/>
                <w:szCs w:val="20"/>
                <w:color w:val="auto"/>
              </w:rPr>
            </w:pPr>
            <w:r>
              <w:rPr>
                <w:rFonts w:ascii="Arial" w:cs="Arial" w:eastAsia="Arial" w:hAnsi="Arial"/>
                <w:sz w:val="15"/>
                <w:szCs w:val="15"/>
                <w:color w:val="auto"/>
              </w:rPr>
              <w:t>+25 basis points (steepening)</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ind w:right="443"/>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406"/>
        </w:trPr>
        <w:tc>
          <w:tcPr>
            <w:tcW w:w="2960" w:type="dxa"/>
            <w:vAlign w:val="bottom"/>
          </w:tcPr>
          <w:p>
            <w:pPr>
              <w:spacing w:after="0"/>
              <w:rPr>
                <w:sz w:val="24"/>
                <w:szCs w:val="24"/>
                <w:color w:val="auto"/>
              </w:rPr>
            </w:pPr>
          </w:p>
        </w:tc>
        <w:tc>
          <w:tcPr>
            <w:tcW w:w="11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spacing w:after="0"/>
              <w:rPr>
                <w:sz w:val="24"/>
                <w:szCs w:val="24"/>
                <w:color w:val="auto"/>
              </w:rPr>
            </w:pPr>
          </w:p>
        </w:tc>
        <w:tc>
          <w:tcPr>
            <w:tcW w:w="2920" w:type="dxa"/>
            <w:vAlign w:val="bottom"/>
            <w:tcBorders>
              <w:bottom w:val="single" w:sz="8" w:color="2C6937"/>
            </w:tcBorders>
            <w:gridSpan w:val="7"/>
          </w:tcPr>
          <w:p>
            <w:pPr>
              <w:ind w:left="220"/>
              <w:spacing w:after="0"/>
              <w:rPr>
                <w:sz w:val="20"/>
                <w:szCs w:val="20"/>
                <w:color w:val="auto"/>
              </w:rPr>
            </w:pPr>
            <w:r>
              <w:rPr>
                <w:rFonts w:ascii="Arial" w:cs="Arial" w:eastAsia="Arial" w:hAnsi="Arial"/>
                <w:sz w:val="14"/>
                <w:szCs w:val="14"/>
                <w:b w:val="1"/>
                <w:bCs w:val="1"/>
                <w:color w:val="auto"/>
                <w:w w:val="96"/>
              </w:rPr>
              <w:t>For the Three Months Ended June 30,</w:t>
            </w:r>
            <w:r>
              <w:rPr>
                <w:rFonts w:ascii="Arial" w:cs="Arial" w:eastAsia="Arial" w:hAnsi="Arial"/>
                <w:sz w:val="17"/>
                <w:szCs w:val="17"/>
                <w:b w:val="1"/>
                <w:bCs w:val="1"/>
                <w:color w:val="auto"/>
                <w:w w:val="96"/>
                <w:vertAlign w:val="superscript"/>
              </w:rPr>
              <w:t>(1)(3)</w:t>
            </w:r>
          </w:p>
        </w:tc>
        <w:tc>
          <w:tcPr>
            <w:tcW w:w="3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ind w:right="307"/>
              <w:spacing w:after="0"/>
              <w:rPr>
                <w:sz w:val="20"/>
                <w:szCs w:val="20"/>
                <w:color w:val="auto"/>
              </w:rPr>
            </w:pPr>
            <w:r>
              <w:rPr>
                <w:rFonts w:ascii="Arial" w:cs="Arial" w:eastAsia="Arial" w:hAnsi="Arial"/>
                <w:sz w:val="14"/>
                <w:szCs w:val="14"/>
                <w:b w:val="1"/>
                <w:bCs w:val="1"/>
                <w:color w:val="auto"/>
              </w:rPr>
              <w:t>2024</w:t>
            </w:r>
          </w:p>
        </w:tc>
        <w:tc>
          <w:tcPr>
            <w:tcW w:w="86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250"/>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60" w:type="dxa"/>
            <w:vAlign w:val="bottom"/>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Duration Gap</w:t>
            </w:r>
          </w:p>
        </w:tc>
        <w:tc>
          <w:tcPr>
            <w:tcW w:w="1380" w:type="dxa"/>
            <w:vAlign w:val="bottom"/>
            <w:gridSpan w:val="2"/>
          </w:tcPr>
          <w:p>
            <w:pPr>
              <w:jc w:val="right"/>
              <w:ind w:right="47"/>
              <w:spacing w:after="0" w:line="139" w:lineRule="exact"/>
              <w:rPr>
                <w:sz w:val="20"/>
                <w:szCs w:val="20"/>
                <w:color w:val="auto"/>
              </w:rPr>
            </w:pPr>
            <w:r>
              <w:rPr>
                <w:rFonts w:ascii="Arial" w:cs="Arial" w:eastAsia="Arial" w:hAnsi="Arial"/>
                <w:sz w:val="14"/>
                <w:szCs w:val="14"/>
                <w:b w:val="1"/>
                <w:bCs w:val="1"/>
                <w:color w:val="auto"/>
              </w:rPr>
              <w:t>Rate Slope Shock</w:t>
            </w:r>
          </w:p>
        </w:tc>
        <w:tc>
          <w:tcPr>
            <w:tcW w:w="150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Rate Level Shock 50</w:t>
            </w:r>
          </w:p>
        </w:tc>
        <w:tc>
          <w:tcPr>
            <w:tcW w:w="140" w:type="dxa"/>
            <w:vAlign w:val="bottom"/>
          </w:tcPr>
          <w:p>
            <w:pPr>
              <w:spacing w:after="0"/>
              <w:rPr>
                <w:sz w:val="12"/>
                <w:szCs w:val="12"/>
                <w:color w:val="auto"/>
              </w:rPr>
            </w:pPr>
          </w:p>
        </w:tc>
        <w:tc>
          <w:tcPr>
            <w:tcW w:w="12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9"/>
              </w:rPr>
              <w:t>Duration Gap</w:t>
            </w:r>
          </w:p>
        </w:tc>
        <w:tc>
          <w:tcPr>
            <w:tcW w:w="1220" w:type="dxa"/>
            <w:vAlign w:val="bottom"/>
            <w:gridSpan w:val="3"/>
          </w:tcPr>
          <w:p>
            <w:pPr>
              <w:jc w:val="right"/>
              <w:spacing w:after="0" w:line="139" w:lineRule="exact"/>
              <w:rPr>
                <w:sz w:val="20"/>
                <w:szCs w:val="20"/>
                <w:color w:val="auto"/>
              </w:rPr>
            </w:pPr>
            <w:r>
              <w:rPr>
                <w:rFonts w:ascii="Arial" w:cs="Arial" w:eastAsia="Arial" w:hAnsi="Arial"/>
                <w:sz w:val="14"/>
                <w:szCs w:val="14"/>
                <w:b w:val="1"/>
                <w:bCs w:val="1"/>
                <w:color w:val="auto"/>
                <w:w w:val="99"/>
              </w:rPr>
              <w:t>Rate Slope Shock</w:t>
            </w:r>
          </w:p>
        </w:tc>
        <w:tc>
          <w:tcPr>
            <w:tcW w:w="156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Rate Level Shock 50</w:t>
            </w:r>
          </w:p>
        </w:tc>
        <w:tc>
          <w:tcPr>
            <w:tcW w:w="0" w:type="dxa"/>
            <w:vAlign w:val="bottom"/>
          </w:tcPr>
          <w:p>
            <w:pPr>
              <w:spacing w:after="0"/>
              <w:rPr>
                <w:sz w:val="1"/>
                <w:szCs w:val="1"/>
                <w:color w:val="auto"/>
              </w:rPr>
            </w:pPr>
          </w:p>
        </w:tc>
      </w:tr>
      <w:tr>
        <w:trPr>
          <w:trHeight w:val="177"/>
        </w:trPr>
        <w:tc>
          <w:tcPr>
            <w:tcW w:w="29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ind w:right="407"/>
              <w:spacing w:after="0"/>
              <w:rPr>
                <w:sz w:val="20"/>
                <w:szCs w:val="20"/>
                <w:color w:val="auto"/>
              </w:rPr>
            </w:pPr>
            <w:r>
              <w:rPr>
                <w:rFonts w:ascii="Arial" w:cs="Arial" w:eastAsia="Arial" w:hAnsi="Arial"/>
                <w:sz w:val="14"/>
                <w:szCs w:val="14"/>
                <w:b w:val="1"/>
                <w:bCs w:val="1"/>
                <w:color w:val="auto"/>
                <w:w w:val="94"/>
              </w:rPr>
              <w:t>25 bps</w:t>
            </w:r>
          </w:p>
        </w:tc>
        <w:tc>
          <w:tcPr>
            <w:tcW w:w="1500" w:type="dxa"/>
            <w:vAlign w:val="bottom"/>
            <w:gridSpan w:val="2"/>
          </w:tcPr>
          <w:p>
            <w:pPr>
              <w:jc w:val="right"/>
              <w:ind w:right="503"/>
              <w:spacing w:after="0"/>
              <w:rPr>
                <w:sz w:val="20"/>
                <w:szCs w:val="20"/>
                <w:color w:val="auto"/>
              </w:rPr>
            </w:pPr>
            <w:r>
              <w:rPr>
                <w:rFonts w:ascii="Arial" w:cs="Arial" w:eastAsia="Arial" w:hAnsi="Arial"/>
                <w:sz w:val="14"/>
                <w:szCs w:val="14"/>
                <w:b w:val="1"/>
                <w:bCs w:val="1"/>
                <w:color w:val="auto"/>
              </w:rPr>
              <w:t>bps</w:t>
            </w:r>
          </w:p>
        </w:tc>
        <w:tc>
          <w:tcPr>
            <w:tcW w:w="14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310"/>
              <w:spacing w:after="0"/>
              <w:rPr>
                <w:sz w:val="20"/>
                <w:szCs w:val="20"/>
                <w:color w:val="auto"/>
              </w:rPr>
            </w:pPr>
            <w:r>
              <w:rPr>
                <w:rFonts w:ascii="Arial" w:cs="Arial" w:eastAsia="Arial" w:hAnsi="Arial"/>
                <w:sz w:val="14"/>
                <w:szCs w:val="14"/>
                <w:b w:val="1"/>
                <w:bCs w:val="1"/>
                <w:color w:val="auto"/>
                <w:w w:val="94"/>
              </w:rPr>
              <w:t>25 bps</w:t>
            </w:r>
          </w:p>
        </w:tc>
        <w:tc>
          <w:tcPr>
            <w:tcW w:w="700" w:type="dxa"/>
            <w:vAlign w:val="bottom"/>
          </w:tcPr>
          <w:p>
            <w:pPr>
              <w:spacing w:after="0"/>
              <w:rPr>
                <w:sz w:val="15"/>
                <w:szCs w:val="15"/>
                <w:color w:val="auto"/>
              </w:rPr>
            </w:pPr>
          </w:p>
        </w:tc>
        <w:tc>
          <w:tcPr>
            <w:tcW w:w="860" w:type="dxa"/>
            <w:vAlign w:val="bottom"/>
          </w:tcPr>
          <w:p>
            <w:pPr>
              <w:jc w:val="right"/>
              <w:ind w:right="483"/>
              <w:spacing w:after="0"/>
              <w:rPr>
                <w:sz w:val="20"/>
                <w:szCs w:val="20"/>
                <w:color w:val="auto"/>
              </w:rPr>
            </w:pPr>
            <w:r>
              <w:rPr>
                <w:rFonts w:ascii="Arial" w:cs="Arial" w:eastAsia="Arial" w:hAnsi="Arial"/>
                <w:sz w:val="14"/>
                <w:szCs w:val="14"/>
                <w:b w:val="1"/>
                <w:bCs w:val="1"/>
                <w:color w:val="auto"/>
              </w:rPr>
              <w:t>bps</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2C6937"/>
              <w:bottom w:val="single" w:sz="8" w:color="2C6937"/>
            </w:tcBorders>
          </w:tcPr>
          <w:p>
            <w:pPr>
              <w:spacing w:after="0"/>
              <w:rPr>
                <w:sz w:val="16"/>
                <w:szCs w:val="16"/>
                <w:color w:val="auto"/>
              </w:rPr>
            </w:pPr>
          </w:p>
        </w:tc>
        <w:tc>
          <w:tcPr>
            <w:tcW w:w="1780" w:type="dxa"/>
            <w:vAlign w:val="bottom"/>
            <w:tcBorders>
              <w:top w:val="single" w:sz="8" w:color="2C6937"/>
              <w:bottom w:val="single" w:sz="8" w:color="2C6937"/>
            </w:tcBorders>
            <w:gridSpan w:val="2"/>
          </w:tcPr>
          <w:p>
            <w:pPr>
              <w:jc w:val="center"/>
              <w:ind w:left="107"/>
              <w:spacing w:after="0"/>
              <w:rPr>
                <w:sz w:val="20"/>
                <w:szCs w:val="20"/>
                <w:color w:val="auto"/>
              </w:rPr>
            </w:pPr>
            <w:r>
              <w:rPr>
                <w:rFonts w:ascii="Arial" w:cs="Arial" w:eastAsia="Arial" w:hAnsi="Arial"/>
                <w:sz w:val="14"/>
                <w:szCs w:val="14"/>
                <w:b w:val="1"/>
                <w:bCs w:val="1"/>
                <w:color w:val="auto"/>
                <w:w w:val="97"/>
              </w:rPr>
              <w:t>Market Value Sensitivity</w:t>
            </w:r>
          </w:p>
        </w:tc>
        <w:tc>
          <w:tcPr>
            <w:tcW w:w="640" w:type="dxa"/>
            <w:vAlign w:val="bottom"/>
            <w:tcBorders>
              <w:top w:val="single" w:sz="8" w:color="2C6937"/>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2C6937"/>
            </w:tcBorders>
          </w:tcPr>
          <w:p>
            <w:pPr>
              <w:spacing w:after="0"/>
              <w:rPr>
                <w:sz w:val="16"/>
                <w:szCs w:val="16"/>
                <w:color w:val="auto"/>
              </w:rPr>
            </w:pPr>
          </w:p>
        </w:tc>
        <w:tc>
          <w:tcPr>
            <w:tcW w:w="94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2C6937"/>
              <w:bottom w:val="single" w:sz="8" w:color="2C6937"/>
            </w:tcBorders>
          </w:tcPr>
          <w:p>
            <w:pPr>
              <w:spacing w:after="0"/>
              <w:rPr>
                <w:sz w:val="16"/>
                <w:szCs w:val="16"/>
                <w:color w:val="auto"/>
              </w:rPr>
            </w:pPr>
          </w:p>
        </w:tc>
        <w:tc>
          <w:tcPr>
            <w:tcW w:w="300" w:type="dxa"/>
            <w:vAlign w:val="bottom"/>
            <w:tcBorders>
              <w:top w:val="single" w:sz="8" w:color="2C6937"/>
              <w:bottom w:val="single" w:sz="8" w:color="2C6937"/>
            </w:tcBorders>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2380" w:type="dxa"/>
            <w:vAlign w:val="bottom"/>
            <w:tcBorders>
              <w:top w:val="single" w:sz="8" w:color="2C6937"/>
              <w:bottom w:val="single" w:sz="8" w:color="2C6937"/>
            </w:tcBorders>
            <w:gridSpan w:val="3"/>
          </w:tcPr>
          <w:p>
            <w:pPr>
              <w:jc w:val="right"/>
              <w:ind w:right="563"/>
              <w:spacing w:after="0"/>
              <w:rPr>
                <w:sz w:val="20"/>
                <w:szCs w:val="20"/>
                <w:color w:val="auto"/>
              </w:rPr>
            </w:pPr>
            <w:r>
              <w:rPr>
                <w:rFonts w:ascii="Arial" w:cs="Arial" w:eastAsia="Arial" w:hAnsi="Arial"/>
                <w:sz w:val="14"/>
                <w:szCs w:val="14"/>
                <w:b w:val="1"/>
                <w:bCs w:val="1"/>
                <w:color w:val="auto"/>
              </w:rPr>
              <w:t>Market Value Sensitivity</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 years)</w:t>
            </w:r>
          </w:p>
        </w:tc>
        <w:tc>
          <w:tcPr>
            <w:tcW w:w="460" w:type="dxa"/>
            <w:vAlign w:val="bottom"/>
          </w:tcPr>
          <w:p>
            <w:pPr>
              <w:spacing w:after="0"/>
              <w:rPr>
                <w:sz w:val="16"/>
                <w:szCs w:val="16"/>
                <w:color w:val="auto"/>
              </w:rPr>
            </w:pPr>
          </w:p>
        </w:tc>
        <w:tc>
          <w:tcPr>
            <w:tcW w:w="1780" w:type="dxa"/>
            <w:vAlign w:val="bottom"/>
            <w:gridSpan w:val="2"/>
          </w:tcPr>
          <w:p>
            <w:pPr>
              <w:jc w:val="center"/>
              <w:ind w:left="107"/>
              <w:spacing w:after="0"/>
              <w:rPr>
                <w:sz w:val="20"/>
                <w:szCs w:val="20"/>
                <w:color w:val="auto"/>
              </w:rPr>
            </w:pPr>
            <w:r>
              <w:rPr>
                <w:rFonts w:ascii="Arial" w:cs="Arial" w:eastAsia="Arial" w:hAnsi="Arial"/>
                <w:sz w:val="14"/>
                <w:szCs w:val="14"/>
                <w:b w:val="1"/>
                <w:bCs w:val="1"/>
                <w:color w:val="auto"/>
                <w:w w:val="98"/>
              </w:rPr>
              <w:t>(Dollars in millions)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(In years)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3"/>
          </w:tcPr>
          <w:p>
            <w:pPr>
              <w:jc w:val="right"/>
              <w:ind w:right="703"/>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Arial" w:cs="Arial" w:eastAsia="Arial" w:hAnsi="Arial"/>
                <w:sz w:val="15"/>
                <w:szCs w:val="15"/>
                <w:color w:val="auto"/>
              </w:rPr>
              <w:t>Average</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0.03</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327"/>
              <w:spacing w:after="0"/>
              <w:rPr>
                <w:sz w:val="20"/>
                <w:szCs w:val="20"/>
                <w:color w:val="auto"/>
              </w:rPr>
            </w:pPr>
            <w:r>
              <w:rPr>
                <w:rFonts w:ascii="Arial" w:cs="Arial" w:eastAsia="Arial" w:hAnsi="Arial"/>
                <w:sz w:val="15"/>
                <w:szCs w:val="15"/>
                <w:b w:val="1"/>
                <w:bCs w:val="1"/>
                <w:color w:val="auto"/>
              </w:rPr>
              <w:t>(9)</w:t>
            </w:r>
          </w:p>
        </w:tc>
        <w:tc>
          <w:tcPr>
            <w:tcW w:w="860" w:type="dxa"/>
            <w:vAlign w:val="bottom"/>
          </w:tcPr>
          <w:p>
            <w:pPr>
              <w:jc w:val="right"/>
              <w:ind w:right="209"/>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303"/>
              <w:spacing w:after="0"/>
              <w:rPr>
                <w:sz w:val="20"/>
                <w:szCs w:val="20"/>
                <w:color w:val="auto"/>
              </w:rPr>
            </w:pPr>
            <w:r>
              <w:rPr>
                <w:rFonts w:ascii="Arial" w:cs="Arial" w:eastAsia="Arial" w:hAnsi="Arial"/>
                <w:sz w:val="15"/>
                <w:szCs w:val="15"/>
                <w:b w:val="1"/>
                <w:bCs w:val="1"/>
                <w:color w:val="auto"/>
                <w:w w:val="89"/>
              </w:rPr>
              <w:t>(24)</w:t>
            </w:r>
          </w:p>
        </w:tc>
        <w:tc>
          <w:tcPr>
            <w:tcW w:w="1260" w:type="dxa"/>
            <w:vAlign w:val="bottom"/>
            <w:gridSpan w:val="3"/>
          </w:tcPr>
          <w:p>
            <w:pPr>
              <w:jc w:val="right"/>
              <w:ind w:right="348"/>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30"/>
              <w:spacing w:after="0"/>
              <w:rPr>
                <w:sz w:val="20"/>
                <w:szCs w:val="20"/>
                <w:color w:val="auto"/>
              </w:rPr>
            </w:pPr>
            <w:r>
              <w:rPr>
                <w:rFonts w:ascii="Arial" w:cs="Arial" w:eastAsia="Arial" w:hAnsi="Arial"/>
                <w:sz w:val="15"/>
                <w:szCs w:val="15"/>
                <w:color w:val="auto"/>
              </w:rPr>
              <w:t>(9)</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83"/>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5"/>
                <w:szCs w:val="15"/>
                <w:color w:val="auto"/>
              </w:rPr>
              <w:t>Minimum</w:t>
            </w:r>
          </w:p>
        </w:tc>
        <w:tc>
          <w:tcPr>
            <w:tcW w:w="12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3"/>
              </w:rPr>
              <w:t>—</w:t>
            </w:r>
          </w:p>
        </w:tc>
        <w:tc>
          <w:tcPr>
            <w:tcW w:w="460" w:type="dxa"/>
            <w:vAlign w:val="bottom"/>
          </w:tcPr>
          <w:p>
            <w:pPr>
              <w:spacing w:after="0"/>
              <w:rPr>
                <w:sz w:val="17"/>
                <w:szCs w:val="17"/>
                <w:color w:val="auto"/>
              </w:rPr>
            </w:pPr>
          </w:p>
        </w:tc>
        <w:tc>
          <w:tcPr>
            <w:tcW w:w="920" w:type="dxa"/>
            <w:vAlign w:val="bottom"/>
          </w:tcPr>
          <w:p>
            <w:pPr>
              <w:jc w:val="right"/>
              <w:ind w:right="327"/>
              <w:spacing w:after="0"/>
              <w:rPr>
                <w:sz w:val="20"/>
                <w:szCs w:val="20"/>
                <w:color w:val="auto"/>
              </w:rPr>
            </w:pPr>
            <w:r>
              <w:rPr>
                <w:rFonts w:ascii="Arial" w:cs="Arial" w:eastAsia="Arial" w:hAnsi="Arial"/>
                <w:sz w:val="15"/>
                <w:szCs w:val="15"/>
                <w:b w:val="1"/>
                <w:bCs w:val="1"/>
                <w:color w:val="auto"/>
              </w:rPr>
              <w:t>(14)</w:t>
            </w:r>
          </w:p>
        </w:tc>
        <w:tc>
          <w:tcPr>
            <w:tcW w:w="860" w:type="dxa"/>
            <w:vAlign w:val="bottom"/>
          </w:tcPr>
          <w:p>
            <w:pPr>
              <w:spacing w:after="0"/>
              <w:rPr>
                <w:sz w:val="17"/>
                <w:szCs w:val="17"/>
                <w:color w:val="auto"/>
              </w:rPr>
            </w:pPr>
          </w:p>
        </w:tc>
        <w:tc>
          <w:tcPr>
            <w:tcW w:w="640" w:type="dxa"/>
            <w:vAlign w:val="bottom"/>
          </w:tcPr>
          <w:p>
            <w:pPr>
              <w:jc w:val="right"/>
              <w:ind w:right="303"/>
              <w:spacing w:after="0"/>
              <w:rPr>
                <w:sz w:val="20"/>
                <w:szCs w:val="20"/>
                <w:color w:val="auto"/>
              </w:rPr>
            </w:pPr>
            <w:r>
              <w:rPr>
                <w:rFonts w:ascii="Arial" w:cs="Arial" w:eastAsia="Arial" w:hAnsi="Arial"/>
                <w:sz w:val="15"/>
                <w:szCs w:val="15"/>
                <w:b w:val="1"/>
                <w:bCs w:val="1"/>
                <w:color w:val="auto"/>
                <w:w w:val="89"/>
              </w:rPr>
              <w:t>(56)</w:t>
            </w:r>
          </w:p>
        </w:tc>
        <w:tc>
          <w:tcPr>
            <w:tcW w:w="1260" w:type="dxa"/>
            <w:vAlign w:val="bottom"/>
            <w:gridSpan w:val="3"/>
          </w:tcPr>
          <w:p>
            <w:pPr>
              <w:jc w:val="right"/>
              <w:ind w:right="288"/>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30"/>
              <w:spacing w:after="0"/>
              <w:rPr>
                <w:sz w:val="20"/>
                <w:szCs w:val="20"/>
                <w:color w:val="auto"/>
              </w:rPr>
            </w:pPr>
            <w:r>
              <w:rPr>
                <w:rFonts w:ascii="Arial" w:cs="Arial" w:eastAsia="Arial" w:hAnsi="Arial"/>
                <w:sz w:val="15"/>
                <w:szCs w:val="15"/>
                <w:color w:val="auto"/>
              </w:rPr>
              <w:t>(15)</w:t>
            </w:r>
          </w:p>
        </w:tc>
        <w:tc>
          <w:tcPr>
            <w:tcW w:w="700" w:type="dxa"/>
            <w:vAlign w:val="bottom"/>
          </w:tcPr>
          <w:p>
            <w:pPr>
              <w:spacing w:after="0"/>
              <w:rPr>
                <w:sz w:val="17"/>
                <w:szCs w:val="17"/>
                <w:color w:val="auto"/>
              </w:rPr>
            </w:pPr>
          </w:p>
        </w:tc>
        <w:tc>
          <w:tcPr>
            <w:tcW w:w="860" w:type="dxa"/>
            <w:vAlign w:val="bottom"/>
          </w:tcPr>
          <w:p>
            <w:pPr>
              <w:jc w:val="right"/>
              <w:ind w:right="283"/>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5"/>
                <w:szCs w:val="15"/>
                <w:color w:val="auto"/>
              </w:rPr>
              <w:t>Maximum</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0.07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327"/>
              <w:spacing w:after="0"/>
              <w:rPr>
                <w:sz w:val="20"/>
                <w:szCs w:val="20"/>
                <w:color w:val="auto"/>
              </w:rPr>
            </w:pPr>
            <w:r>
              <w:rPr>
                <w:rFonts w:ascii="Arial" w:cs="Arial" w:eastAsia="Arial" w:hAnsi="Arial"/>
                <w:sz w:val="15"/>
                <w:szCs w:val="15"/>
                <w:b w:val="1"/>
                <w:bCs w:val="1"/>
                <w:color w:val="auto"/>
              </w:rPr>
              <w:t>(4)</w:t>
            </w:r>
          </w:p>
        </w:tc>
        <w:tc>
          <w:tcPr>
            <w:tcW w:w="860" w:type="dxa"/>
            <w:vAlign w:val="bottom"/>
          </w:tcPr>
          <w:p>
            <w:pPr>
              <w:spacing w:after="0"/>
              <w:rPr>
                <w:sz w:val="17"/>
                <w:szCs w:val="17"/>
                <w:color w:val="auto"/>
              </w:rPr>
            </w:pPr>
          </w:p>
        </w:tc>
        <w:tc>
          <w:tcPr>
            <w:tcW w:w="640" w:type="dxa"/>
            <w:vAlign w:val="bottom"/>
          </w:tcPr>
          <w:p>
            <w:pPr>
              <w:jc w:val="right"/>
              <w:ind w:right="303"/>
              <w:spacing w:after="0"/>
              <w:rPr>
                <w:sz w:val="20"/>
                <w:szCs w:val="20"/>
                <w:color w:val="auto"/>
              </w:rPr>
            </w:pPr>
            <w:r>
              <w:rPr>
                <w:rFonts w:ascii="Arial" w:cs="Arial" w:eastAsia="Arial" w:hAnsi="Arial"/>
                <w:sz w:val="15"/>
                <w:szCs w:val="15"/>
                <w:b w:val="1"/>
                <w:bCs w:val="1"/>
                <w:color w:val="auto"/>
              </w:rPr>
              <w:t>(3)</w:t>
            </w:r>
          </w:p>
        </w:tc>
        <w:tc>
          <w:tcPr>
            <w:tcW w:w="1260" w:type="dxa"/>
            <w:vAlign w:val="bottom"/>
            <w:gridSpan w:val="3"/>
          </w:tcPr>
          <w:p>
            <w:pPr>
              <w:jc w:val="right"/>
              <w:ind w:right="348"/>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30"/>
              <w:spacing w:after="0"/>
              <w:rPr>
                <w:sz w:val="20"/>
                <w:szCs w:val="20"/>
                <w:color w:val="auto"/>
              </w:rPr>
            </w:pPr>
            <w:r>
              <w:rPr>
                <w:rFonts w:ascii="Arial" w:cs="Arial" w:eastAsia="Arial" w:hAnsi="Arial"/>
                <w:sz w:val="15"/>
                <w:szCs w:val="15"/>
                <w:color w:val="auto"/>
              </w:rPr>
              <w:t>(4)</w:t>
            </w:r>
          </w:p>
        </w:tc>
        <w:tc>
          <w:tcPr>
            <w:tcW w:w="700" w:type="dxa"/>
            <w:vAlign w:val="bottom"/>
          </w:tcPr>
          <w:p>
            <w:pPr>
              <w:spacing w:after="0"/>
              <w:rPr>
                <w:sz w:val="17"/>
                <w:szCs w:val="17"/>
                <w:color w:val="auto"/>
              </w:rPr>
            </w:pPr>
          </w:p>
        </w:tc>
        <w:tc>
          <w:tcPr>
            <w:tcW w:w="860" w:type="dxa"/>
            <w:vAlign w:val="bottom"/>
          </w:tcPr>
          <w:p>
            <w:pPr>
              <w:jc w:val="right"/>
              <w:ind w:right="283"/>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4"/>
        </w:trPr>
        <w:tc>
          <w:tcPr>
            <w:tcW w:w="2960" w:type="dxa"/>
            <w:vAlign w:val="bottom"/>
          </w:tcPr>
          <w:p>
            <w:pPr>
              <w:ind w:left="20"/>
              <w:spacing w:after="0"/>
              <w:rPr>
                <w:sz w:val="20"/>
                <w:szCs w:val="20"/>
                <w:color w:val="auto"/>
              </w:rPr>
            </w:pPr>
            <w:r>
              <w:rPr>
                <w:rFonts w:ascii="Arial" w:cs="Arial" w:eastAsia="Arial" w:hAnsi="Arial"/>
                <w:sz w:val="15"/>
                <w:szCs w:val="15"/>
                <w:color w:val="auto"/>
              </w:rPr>
              <w:t>Standard deviation</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0.01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367"/>
              <w:spacing w:after="0"/>
              <w:rPr>
                <w:sz w:val="20"/>
                <w:szCs w:val="20"/>
                <w:color w:val="auto"/>
              </w:rPr>
            </w:pPr>
            <w:r>
              <w:rPr>
                <w:rFonts w:ascii="Arial" w:cs="Arial" w:eastAsia="Arial" w:hAnsi="Arial"/>
                <w:sz w:val="15"/>
                <w:szCs w:val="15"/>
                <w:b w:val="1"/>
                <w:bCs w:val="1"/>
                <w:color w:val="auto"/>
              </w:rPr>
              <w:t>3</w:t>
            </w:r>
          </w:p>
        </w:tc>
        <w:tc>
          <w:tcPr>
            <w:tcW w:w="860" w:type="dxa"/>
            <w:vAlign w:val="bottom"/>
          </w:tcPr>
          <w:p>
            <w:pPr>
              <w:spacing w:after="0"/>
              <w:rPr>
                <w:sz w:val="18"/>
                <w:szCs w:val="18"/>
                <w:color w:val="auto"/>
              </w:rPr>
            </w:pPr>
          </w:p>
        </w:tc>
        <w:tc>
          <w:tcPr>
            <w:tcW w:w="640" w:type="dxa"/>
            <w:vAlign w:val="bottom"/>
          </w:tcPr>
          <w:p>
            <w:pPr>
              <w:jc w:val="right"/>
              <w:ind w:right="343"/>
              <w:spacing w:after="0"/>
              <w:rPr>
                <w:sz w:val="20"/>
                <w:szCs w:val="20"/>
                <w:color w:val="auto"/>
              </w:rPr>
            </w:pPr>
            <w:r>
              <w:rPr>
                <w:rFonts w:ascii="Arial" w:cs="Arial" w:eastAsia="Arial" w:hAnsi="Arial"/>
                <w:sz w:val="15"/>
                <w:szCs w:val="15"/>
                <w:b w:val="1"/>
                <w:bCs w:val="1"/>
                <w:color w:val="auto"/>
              </w:rPr>
              <w:t>12</w:t>
            </w:r>
          </w:p>
        </w:tc>
        <w:tc>
          <w:tcPr>
            <w:tcW w:w="1260" w:type="dxa"/>
            <w:vAlign w:val="bottom"/>
            <w:gridSpan w:val="3"/>
          </w:tcPr>
          <w:p>
            <w:pPr>
              <w:jc w:val="right"/>
              <w:ind w:right="348"/>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700" w:type="dxa"/>
            <w:vAlign w:val="bottom"/>
          </w:tcPr>
          <w:p>
            <w:pPr>
              <w:spacing w:after="0"/>
              <w:rPr>
                <w:sz w:val="18"/>
                <w:szCs w:val="18"/>
                <w:color w:val="auto"/>
              </w:rPr>
            </w:pPr>
          </w:p>
        </w:tc>
        <w:tc>
          <w:tcPr>
            <w:tcW w:w="860" w:type="dxa"/>
            <w:vAlign w:val="bottom"/>
          </w:tcPr>
          <w:p>
            <w:pPr>
              <w:jc w:val="right"/>
              <w:ind w:right="343"/>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left="240" w:right="60" w:hanging="237"/>
        <w:spacing w:after="0" w:line="228" w:lineRule="auto"/>
        <w:tabs>
          <w:tab w:leader="none" w:pos="233"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Computed based on changes in SOFR interest-rates swap curve. Changes in the level of interest rates assume a parallel shift in all maturities of the SOFR interest-rate swap curve. Changes in the slope of the yield curve assume a constant 7-year rate, a shift of 16.7 basis points for the 1-year rate (and shorter tenors) and an opposite shift of 8.3 basis points for the 30-year rate. Rate shocks for remaining maturity points are interpolated.</w:t>
      </w:r>
    </w:p>
    <w:p>
      <w:pPr>
        <w:ind w:left="220" w:hanging="217"/>
        <w:spacing w:after="0"/>
        <w:tabs>
          <w:tab w:leader="none" w:pos="22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Measured on the last business day of each period presented.</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Computed based on daily values during the period presented.</w:t>
      </w:r>
    </w:p>
    <w:p>
      <w:pPr>
        <w:spacing w:after="0" w:line="5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market value sensitivity of our net portfolio varies across a range of interest-rate shocks depending upon the duration and convexity profile of our net portfolio. The market value sensitivity of the net portfolio is measured by quantifying the change in the present value of the cash flows of our financial assets and liabilities that would result from an instantaneous shock to interest rates, assuming spreads are held constant.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53</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6" w:name="page57"/>
    <w:bookmarkEnd w:id="56"/>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We use derivatives to help manage the residual interest-rate risk exposure between the assets and liabilities in our net portfolio. Derivatives have enabled us to keep our economic interest-rate risk exposure at consistently low levels in a wide range of interest-rate environments. The table below displays an example of how derivatives impacted the net market value exposure for a 50 basis point parallel interest-rate shock. For additional information on our derivative positions, see “Note 9, Derivative Instruments” in our 2023 Form 10-K and in this report.</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Derivative Impact on Interest-Rate Risk (50 Basis Points)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20" w:type="dxa"/>
            <w:vAlign w:val="bottom"/>
            <w:tcBorders>
              <w:top w:val="single" w:sz="8" w:color="2C6937"/>
            </w:tcBorders>
          </w:tcPr>
          <w:p>
            <w:pPr>
              <w:spacing w:after="0"/>
              <w:rPr>
                <w:sz w:val="17"/>
                <w:szCs w:val="17"/>
                <w:color w:val="auto"/>
              </w:rPr>
            </w:pPr>
          </w:p>
        </w:tc>
        <w:tc>
          <w:tcPr>
            <w:tcW w:w="320" w:type="dxa"/>
            <w:vAlign w:val="bottom"/>
            <w:tcBorders>
              <w:top w:val="single" w:sz="8" w:color="2C6937"/>
              <w:bottom w:val="single" w:sz="8" w:color="2C6937"/>
            </w:tcBorders>
          </w:tcPr>
          <w:p>
            <w:pPr>
              <w:spacing w:after="0"/>
              <w:rPr>
                <w:sz w:val="17"/>
                <w:szCs w:val="17"/>
                <w:color w:val="auto"/>
              </w:rPr>
            </w:pPr>
          </w:p>
        </w:tc>
        <w:tc>
          <w:tcPr>
            <w:tcW w:w="1920" w:type="dxa"/>
            <w:vAlign w:val="bottom"/>
            <w:tcBorders>
              <w:top w:val="single" w:sz="8" w:color="2C6937"/>
              <w:bottom w:val="single" w:sz="8" w:color="2C6937"/>
            </w:tcBorders>
            <w:gridSpan w:val="2"/>
          </w:tcPr>
          <w:p>
            <w:pPr>
              <w:jc w:val="right"/>
              <w:ind w:right="23"/>
              <w:spacing w:after="0"/>
              <w:rPr>
                <w:sz w:val="20"/>
                <w:szCs w:val="20"/>
                <w:color w:val="auto"/>
              </w:rPr>
            </w:pPr>
            <w:r>
              <w:rPr>
                <w:rFonts w:ascii="Arial" w:cs="Arial" w:eastAsia="Arial" w:hAnsi="Arial"/>
                <w:sz w:val="14"/>
                <w:szCs w:val="14"/>
                <w:b w:val="1"/>
                <w:bCs w:val="1"/>
                <w:color w:val="auto"/>
              </w:rPr>
              <w:t>As of</w:t>
            </w:r>
            <w:r>
              <w:rPr>
                <w:rFonts w:ascii="Arial" w:cs="Arial" w:eastAsia="Arial" w:hAnsi="Arial"/>
                <w:sz w:val="17"/>
                <w:szCs w:val="17"/>
                <w:b w:val="1"/>
                <w:bCs w:val="1"/>
                <w:color w:val="auto"/>
                <w:vertAlign w:val="superscript"/>
              </w:rPr>
              <w:t>(1)</w:t>
            </w:r>
          </w:p>
        </w:tc>
        <w:tc>
          <w:tcPr>
            <w:tcW w:w="1580" w:type="dxa"/>
            <w:vAlign w:val="bottom"/>
            <w:tcBorders>
              <w:top w:val="single" w:sz="8" w:color="2C6937"/>
              <w:bottom w:val="single" w:sz="8" w:color="2C6937"/>
            </w:tcBorders>
          </w:tcPr>
          <w:p>
            <w:pPr>
              <w:spacing w:after="0"/>
              <w:rPr>
                <w:sz w:val="17"/>
                <w:szCs w:val="17"/>
                <w:color w:val="auto"/>
              </w:rPr>
            </w:pPr>
          </w:p>
        </w:tc>
      </w:tr>
      <w:tr>
        <w:trPr>
          <w:trHeight w:val="185"/>
        </w:trPr>
        <w:tc>
          <w:tcPr>
            <w:tcW w:w="742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tcPr>
          <w:p>
            <w:pPr>
              <w:jc w:val="right"/>
              <w:ind w:right="467"/>
              <w:spacing w:after="0"/>
              <w:rPr>
                <w:sz w:val="20"/>
                <w:szCs w:val="20"/>
                <w:color w:val="auto"/>
              </w:rPr>
            </w:pPr>
            <w:r>
              <w:rPr>
                <w:rFonts w:ascii="Arial" w:cs="Arial" w:eastAsia="Arial" w:hAnsi="Arial"/>
                <w:sz w:val="14"/>
                <w:szCs w:val="14"/>
                <w:b w:val="1"/>
                <w:bCs w:val="1"/>
                <w:color w:val="auto"/>
              </w:rPr>
              <w:t>June 30, 2024</w:t>
            </w:r>
          </w:p>
        </w:tc>
        <w:tc>
          <w:tcPr>
            <w:tcW w:w="34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tcPr>
          <w:p>
            <w:pPr>
              <w:jc w:val="right"/>
              <w:ind w:right="225"/>
              <w:spacing w:after="0"/>
              <w:rPr>
                <w:sz w:val="20"/>
                <w:szCs w:val="20"/>
                <w:color w:val="auto"/>
              </w:rPr>
            </w:pPr>
            <w:r>
              <w:rPr>
                <w:rFonts w:ascii="Arial" w:cs="Arial" w:eastAsia="Arial" w:hAnsi="Arial"/>
                <w:sz w:val="14"/>
                <w:szCs w:val="14"/>
                <w:b w:val="1"/>
                <w:bCs w:val="1"/>
                <w:color w:val="auto"/>
                <w:w w:val="99"/>
              </w:rPr>
              <w:t>December 31, 2023</w:t>
            </w:r>
          </w:p>
        </w:tc>
      </w:tr>
      <w:tr>
        <w:trPr>
          <w:trHeight w:val="185"/>
        </w:trPr>
        <w:tc>
          <w:tcPr>
            <w:tcW w:w="7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00" w:type="dxa"/>
            <w:vAlign w:val="bottom"/>
            <w:gridSpan w:val="3"/>
          </w:tcPr>
          <w:p>
            <w:pPr>
              <w:jc w:val="right"/>
              <w:ind w:right="1205"/>
              <w:spacing w:after="0"/>
              <w:rPr>
                <w:sz w:val="20"/>
                <w:szCs w:val="20"/>
                <w:color w:val="auto"/>
              </w:rPr>
            </w:pPr>
            <w:r>
              <w:rPr>
                <w:rFonts w:ascii="Arial" w:cs="Arial" w:eastAsia="Arial" w:hAnsi="Arial"/>
                <w:sz w:val="14"/>
                <w:szCs w:val="14"/>
                <w:b w:val="1"/>
                <w:bCs w:val="1"/>
                <w:color w:val="auto"/>
              </w:rPr>
              <w:t>(Dollars in millions)</w:t>
            </w:r>
          </w:p>
        </w:tc>
      </w:tr>
      <w:tr>
        <w:trPr>
          <w:trHeight w:val="207"/>
        </w:trPr>
        <w:tc>
          <w:tcPr>
            <w:tcW w:w="7420" w:type="dxa"/>
            <w:vAlign w:val="bottom"/>
          </w:tcPr>
          <w:p>
            <w:pPr>
              <w:ind w:left="20"/>
              <w:spacing w:after="0"/>
              <w:rPr>
                <w:sz w:val="20"/>
                <w:szCs w:val="20"/>
                <w:color w:val="auto"/>
              </w:rPr>
            </w:pPr>
            <w:r>
              <w:rPr>
                <w:rFonts w:ascii="Arial" w:cs="Arial" w:eastAsia="Arial" w:hAnsi="Arial"/>
                <w:sz w:val="15"/>
                <w:szCs w:val="15"/>
                <w:color w:val="auto"/>
              </w:rPr>
              <w:t>Before derivatives</w:t>
            </w:r>
          </w:p>
        </w:tc>
        <w:tc>
          <w:tcPr>
            <w:tcW w:w="32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1580" w:type="dxa"/>
            <w:vAlign w:val="bottom"/>
          </w:tcPr>
          <w:p>
            <w:pPr>
              <w:jc w:val="right"/>
              <w:ind w:right="107"/>
              <w:spacing w:after="0"/>
              <w:rPr>
                <w:sz w:val="20"/>
                <w:szCs w:val="20"/>
                <w:color w:val="auto"/>
              </w:rPr>
            </w:pPr>
            <w:r>
              <w:rPr>
                <w:rFonts w:ascii="Arial" w:cs="Arial" w:eastAsia="Arial" w:hAnsi="Arial"/>
                <w:sz w:val="15"/>
                <w:szCs w:val="15"/>
                <w:b w:val="1"/>
                <w:bCs w:val="1"/>
                <w:color w:val="auto"/>
              </w:rPr>
              <w:t>(390)</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(449)</w:t>
            </w:r>
          </w:p>
        </w:tc>
      </w:tr>
      <w:tr>
        <w:trPr>
          <w:trHeight w:val="206"/>
        </w:trPr>
        <w:tc>
          <w:tcPr>
            <w:tcW w:w="7420" w:type="dxa"/>
            <w:vAlign w:val="bottom"/>
          </w:tcPr>
          <w:p>
            <w:pPr>
              <w:ind w:left="20"/>
              <w:spacing w:after="0"/>
              <w:rPr>
                <w:sz w:val="20"/>
                <w:szCs w:val="20"/>
                <w:color w:val="auto"/>
              </w:rPr>
            </w:pPr>
            <w:r>
              <w:rPr>
                <w:rFonts w:ascii="Arial" w:cs="Arial" w:eastAsia="Arial" w:hAnsi="Arial"/>
                <w:sz w:val="15"/>
                <w:szCs w:val="15"/>
                <w:color w:val="auto"/>
              </w:rPr>
              <w:t>After derivatives</w:t>
            </w:r>
          </w:p>
        </w:tc>
        <w:tc>
          <w:tcPr>
            <w:tcW w:w="320" w:type="dxa"/>
            <w:vAlign w:val="bottom"/>
          </w:tcPr>
          <w:p>
            <w:pPr>
              <w:spacing w:after="0"/>
              <w:rPr>
                <w:sz w:val="17"/>
                <w:szCs w:val="17"/>
                <w:color w:val="auto"/>
              </w:rPr>
            </w:pPr>
          </w:p>
        </w:tc>
        <w:tc>
          <w:tcPr>
            <w:tcW w:w="1580" w:type="dxa"/>
            <w:vAlign w:val="bottom"/>
          </w:tcPr>
          <w:p>
            <w:pPr>
              <w:jc w:val="right"/>
              <w:ind w:right="107"/>
              <w:spacing w:after="0"/>
              <w:rPr>
                <w:sz w:val="20"/>
                <w:szCs w:val="20"/>
                <w:color w:val="auto"/>
              </w:rPr>
            </w:pPr>
            <w:r>
              <w:rPr>
                <w:rFonts w:ascii="Arial" w:cs="Arial" w:eastAsia="Arial" w:hAnsi="Arial"/>
                <w:sz w:val="15"/>
                <w:szCs w:val="15"/>
                <w:b w:val="1"/>
                <w:bCs w:val="1"/>
                <w:color w:val="auto"/>
              </w:rPr>
              <w:t>(29)</w:t>
            </w:r>
          </w:p>
        </w:tc>
        <w:tc>
          <w:tcPr>
            <w:tcW w:w="340" w:type="dxa"/>
            <w:vAlign w:val="bottom"/>
          </w:tcPr>
          <w:p>
            <w:pPr>
              <w:spacing w:after="0"/>
              <w:rPr>
                <w:sz w:val="17"/>
                <w:szCs w:val="17"/>
                <w:color w:val="auto"/>
              </w:rPr>
            </w:pP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(47)</w:t>
            </w:r>
          </w:p>
        </w:tc>
      </w:tr>
      <w:tr>
        <w:trPr>
          <w:trHeight w:val="214"/>
        </w:trPr>
        <w:tc>
          <w:tcPr>
            <w:tcW w:w="7420" w:type="dxa"/>
            <w:vAlign w:val="bottom"/>
          </w:tcPr>
          <w:p>
            <w:pPr>
              <w:ind w:left="20"/>
              <w:spacing w:after="0"/>
              <w:rPr>
                <w:sz w:val="20"/>
                <w:szCs w:val="20"/>
                <w:color w:val="auto"/>
              </w:rPr>
            </w:pPr>
            <w:r>
              <w:rPr>
                <w:rFonts w:ascii="Arial" w:cs="Arial" w:eastAsia="Arial" w:hAnsi="Arial"/>
                <w:sz w:val="15"/>
                <w:szCs w:val="15"/>
                <w:color w:val="auto"/>
              </w:rPr>
              <w:t>Effect of derivatives</w:t>
            </w:r>
          </w:p>
        </w:tc>
        <w:tc>
          <w:tcPr>
            <w:tcW w:w="320" w:type="dxa"/>
            <w:vAlign w:val="bottom"/>
          </w:tcPr>
          <w:p>
            <w:pPr>
              <w:spacing w:after="0"/>
              <w:rPr>
                <w:sz w:val="18"/>
                <w:szCs w:val="18"/>
                <w:color w:val="auto"/>
              </w:rPr>
            </w:pPr>
          </w:p>
        </w:tc>
        <w:tc>
          <w:tcPr>
            <w:tcW w:w="1580" w:type="dxa"/>
            <w:vAlign w:val="bottom"/>
          </w:tcPr>
          <w:p>
            <w:pPr>
              <w:jc w:val="right"/>
              <w:ind w:right="167"/>
              <w:spacing w:after="0"/>
              <w:rPr>
                <w:sz w:val="20"/>
                <w:szCs w:val="20"/>
                <w:color w:val="auto"/>
              </w:rPr>
            </w:pPr>
            <w:r>
              <w:rPr>
                <w:rFonts w:ascii="Arial" w:cs="Arial" w:eastAsia="Arial" w:hAnsi="Arial"/>
                <w:sz w:val="15"/>
                <w:szCs w:val="15"/>
                <w:b w:val="1"/>
                <w:bCs w:val="1"/>
                <w:color w:val="auto"/>
              </w:rPr>
              <w:t>361</w:t>
            </w:r>
          </w:p>
        </w:tc>
        <w:tc>
          <w:tcPr>
            <w:tcW w:w="340" w:type="dxa"/>
            <w:vAlign w:val="bottom"/>
          </w:tcPr>
          <w:p>
            <w:pPr>
              <w:spacing w:after="0"/>
              <w:rPr>
                <w:sz w:val="18"/>
                <w:szCs w:val="18"/>
                <w:color w:val="auto"/>
              </w:rPr>
            </w:pPr>
          </w:p>
        </w:tc>
        <w:tc>
          <w:tcPr>
            <w:tcW w:w="1580" w:type="dxa"/>
            <w:vAlign w:val="bottom"/>
          </w:tcPr>
          <w:p>
            <w:pPr>
              <w:jc w:val="right"/>
              <w:ind w:right="85"/>
              <w:spacing w:after="0"/>
              <w:rPr>
                <w:sz w:val="20"/>
                <w:szCs w:val="20"/>
                <w:color w:val="auto"/>
              </w:rPr>
            </w:pPr>
            <w:r>
              <w:rPr>
                <w:rFonts w:ascii="Arial" w:cs="Arial" w:eastAsia="Arial" w:hAnsi="Arial"/>
                <w:sz w:val="15"/>
                <w:szCs w:val="15"/>
                <w:color w:val="auto"/>
              </w:rPr>
              <w:t>402</w:t>
            </w:r>
          </w:p>
        </w:tc>
      </w:tr>
    </w:tbl>
    <w:p>
      <w:pPr>
        <w:spacing w:after="0" w:line="102" w:lineRule="exact"/>
        <w:rPr>
          <w:sz w:val="20"/>
          <w:szCs w:val="20"/>
          <w:color w:val="auto"/>
        </w:rPr>
      </w:pPr>
    </w:p>
    <w:p>
      <w:pPr>
        <w:ind w:left="220" w:hanging="217"/>
        <w:spacing w:after="0"/>
        <w:tabs>
          <w:tab w:leader="none" w:pos="220" w:val="left"/>
        </w:tabs>
        <w:numPr>
          <w:ilvl w:val="0"/>
          <w:numId w:val="58"/>
        </w:numPr>
        <w:rPr>
          <w:rFonts w:ascii="Arial" w:cs="Arial" w:eastAsia="Arial" w:hAnsi="Arial"/>
          <w:sz w:val="9"/>
          <w:szCs w:val="9"/>
          <w:color w:val="auto"/>
        </w:rPr>
      </w:pPr>
      <w:r>
        <w:rPr>
          <w:rFonts w:ascii="Arial" w:cs="Arial" w:eastAsia="Arial" w:hAnsi="Arial"/>
          <w:sz w:val="14"/>
          <w:szCs w:val="14"/>
          <w:color w:val="auto"/>
        </w:rPr>
        <w:t>Measured on the last business day of each period presented.</w:t>
      </w:r>
    </w:p>
    <w:p>
      <w:pPr>
        <w:spacing w:after="0" w:line="109"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Earnings Exposure to Interest-Rate Risk</w:t>
      </w:r>
    </w:p>
    <w:p>
      <w:pPr>
        <w:spacing w:after="0" w:line="80"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While we manage the interest-rate risk of our net portfolio with the objective of remaining neutral to movements in interest rates and volatility on an economic basis, our earnings can experience volatility due to interest-rate changes and differing accounting treatments that apply to certain financial instruments on our balance sheet. Specifically, we have exposure to earnings volatility that is driven by changes in interest rates in two primary areas: our net portfolio and our consolidated MBS trusts. The exposure in the net portfolio is primarily driven by changes in the fair value of risk management derivatives, mortgage commitments, and certain assets, primarily securities, that are carried at fair value. The exposure related to our consolidated MBS trusts relates to changes in our credit loss reserves and to the amortization of cost basis adjustments resulting from changes in interest rates.</w:t>
      </w:r>
    </w:p>
    <w:p>
      <w:pPr>
        <w:spacing w:after="0" w:line="4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apply fair value hedge accounting to address some of the exposure to interest rates, particularly the earnings volatility related to changes in benchmark interest rates. Our hedge accounting program is specifically designed to address the volatility of our financial results associated with changes in fair value related to changes in these benchmark interest rates. As such, earnings variability driven by other factors, such as spreads or changes in cost basis amortization recognized in net interest income, remains. In addition, our ability to effectively reduce earnings volatility is dependent upon the volume and type of interest-rate swaps available for hedging, which is driven by our interest-rate risk management strategy discussed above and in our 2023 Form 10-K. As our range of available interest-rate swaps varies over time, our ability to reduce earnings volatility through hedge accounting may vary as well. When the shape of the yield curve shifts significantly from period to period, hedge accounting may be less effective. In our current program, we establish new hedging relationships each business day to provide flexibility in our overall risk management strategy.</w:t>
      </w:r>
    </w:p>
    <w:p>
      <w:pPr>
        <w:spacing w:after="0" w:line="43" w:lineRule="exact"/>
        <w:rPr>
          <w:sz w:val="20"/>
          <w:szCs w:val="20"/>
          <w:color w:val="auto"/>
        </w:rPr>
      </w:pPr>
    </w:p>
    <w:p>
      <w:pPr>
        <w:ind w:right="820"/>
        <w:spacing w:after="0" w:line="310" w:lineRule="auto"/>
        <w:rPr>
          <w:sz w:val="20"/>
          <w:szCs w:val="20"/>
          <w:color w:val="auto"/>
        </w:rPr>
      </w:pPr>
      <w:r>
        <w:rPr>
          <w:rFonts w:ascii="Arial" w:cs="Arial" w:eastAsia="Arial" w:hAnsi="Arial"/>
          <w:sz w:val="16"/>
          <w:szCs w:val="16"/>
          <w:color w:val="auto"/>
        </w:rPr>
        <w:t>See “Note 1, Summary of Significant Accounting Policies” in our 2023 Form 10-K and “Note 9, Derivative Instruments” in this report for additional information on our fair value hedge accounting policy and related disclosures.</w:t>
      </w:r>
    </w:p>
    <w:p>
      <w:pPr>
        <w:spacing w:after="0" w:line="9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The preparation of financial statements in accordance with GAAP requires management to make a number of judgments, estimates and assumptions that affect the reported amount of assets, liabilities, income and expenses in our condensed consolidated financial statements. Understanding our accounting policies and the extent to which we use management judgment and estimates in applying these policies is integral to understanding our financial statements. We describe our most significant accounting policies in “Note 1, Summary of Significant Accounting Policies” in this report and in our 2023 Form 10-K.</w:t>
      </w:r>
    </w:p>
    <w:p>
      <w:pPr>
        <w:spacing w:after="0" w:line="23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evaluate our critical accounting estimates and judgments required by our policies on an ongoing basis and update them as necessary based on changing conditions. Management has discussed any significant changes in judgments and assumptions in applying our critical accounting estimates with the Audit Committee of our Board of Directors. See “Risk Factors—General Risk” in our 2023 Form 10-K for a discussion of the risks associated with the need for management to make judgments and estimates in applying our accounting policies and methods. We have identified one of our accounting estimates, allowance for loan losses, as critical because it involves significant judgments and assumptions about highly complex and inherently uncertain matters, and the use of reasonably different judgments and assumptions could have a material impact on our reported results of operations or financial condition.</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7" w:name="page58"/>
    <w:bookmarkEnd w:id="57"/>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Allowance for Loan Losses</w:t>
      </w:r>
    </w:p>
    <w:p>
      <w:pPr>
        <w:spacing w:after="0" w:line="63"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The allowance for loan losses is an estimate of single-family and multifamily HFI loan receivables that we expect will not be collected related to loans held by Fannie Mae or by consolidated Fannie Mae MBS trusts. The expected credit losses are deducted from the amortized cost basis of HFI loans to present the net amount expected to be received.</w:t>
      </w:r>
    </w:p>
    <w:p>
      <w:pPr>
        <w:spacing w:after="0" w:line="2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allowance for loan losses involves substantial judgment on a number of matters including the development and weighting of macroeconomic forecasts, the reversion period applied, the assessment of similar risk characteristics, which determines the historic loss experience used to derive probability of loan default, the valuation of collateral, which includes judgments about the property condition at the time of foreclosure, and the determination of a loan’s remaining expected life. Our most significant judgments involved in estimating our allowance for loan losses relate to the modeled macroeconomic data used to develop reasonable and supportable forecasts for key economic drivers, which are subject to significant inherent uncertainty. Most notably, for single-family, the model uses forecasted single-family home prices as well as a range of possible future interest rate environments. For multifamily, the model uses forecasted rental income and property valuations over the remaining life of each mortgage loan. In developing a reasonable and supportable forecast, the model simulates multiple paths of interest rates, rental income and property values based on current market conditions.</w:t>
      </w:r>
    </w:p>
    <w:p>
      <w:pPr>
        <w:spacing w:after="0" w:line="8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Quantitative Component</w:t>
      </w:r>
    </w:p>
    <w:p>
      <w:pPr>
        <w:spacing w:after="0" w:line="80"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We use a discounted cash flow method to measure expected credit losses on our single-family mortgage loans and an undiscounted loss method to measure expected credit losses on our multifamily mortgage loans.</w:t>
      </w:r>
    </w:p>
    <w:p>
      <w:pPr>
        <w:spacing w:after="0" w:line="15"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Our modeled loan performance is based on our historical experience of loans with similar risk characteristics adjusted to reflect current conditions and reasonable and supportable forecasts. Our historical loss experience and our loan loss estimates capture the possibility of a multitude of events, including remote events that could result in credit losses on loans that are considered low risk. Our credit loss models, including the macroeconomic forecast data used as key inputs, are subject to our model oversight and review processes as well as other established governance and controls.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Qualitative Component</w:t>
      </w:r>
    </w:p>
    <w:p>
      <w:pPr>
        <w:spacing w:after="0" w:line="80"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Our process for measuring expected credit losses is complex and involves significant management judgment, including a reliance on historical loss information and current economic forecasts that may not be representative of credit losses we ultimately realize. Management adjustments may be necessary to take into consideration external factors and current macroeconomic events that have occurred but are not yet reflected in the data used to derive the model outputs. Qualitative factors and events not previously observed by the models through historical loss experience may also be considered, as well as the uncertainty of their impact on credit loss estimates.</w:t>
      </w:r>
    </w:p>
    <w:p>
      <w:pPr>
        <w:spacing w:after="0" w:line="9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Macroeconomic Variables and Sensitivities</w:t>
      </w:r>
    </w:p>
    <w:p>
      <w:pPr>
        <w:spacing w:after="0" w:line="67"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Our benefit or provision for credit losses can vary substantially from period to period based on forecasted macroeconomic drivers; primarily home prices and interest rates related to our single-family book of business, which for the purposes of macroeconomic model inputs, we have determined are the most significant judgments used in our estimation of credit losses. We develop regional forecasts for single-family home prices using a multi-path simulation that captures home price projections over a five-year period, which is the period for which we can develop reasonable and supportable forecasts. After the five-year period, the home price forecast reverts to a historical long-term growth rate. Additionally, our model projects the range of possible interest rate scenarios over the life of the loan. This process captures multiple possible outcomes of what could be more or less favorable economic environments for the borrower, and therefore will increase or decrease the likelihood of default or prepayment depending on the environment in each path of the simulation.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55</w:t>
            </w:r>
          </w:p>
        </w:tc>
      </w:tr>
      <w:tr>
        <w:trPr>
          <w:trHeight w:val="194"/>
        </w:trPr>
        <w:tc>
          <w:tcPr>
            <w:tcW w:w="69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8" w:name="page59"/>
    <w:bookmarkEnd w:id="58"/>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table below provides information about our most significant key macroeconomic inputs used in determining our single-family allowance for loan losses: forecasted home price growth rates and interest rates. Although the model consumes a wide range of possible regional home price forecasts and interest rate scenarios that take into account inherent uncertainty, the forecasts below represent the mean path of those simulations used in determining the allowance for each quarter through the six months ended June 30, 2024, and for each quarter during the year ended December 31, 2023, and how those forecasts have changed between periods of estimate. Below we present our home price growth and interest rate estimates used in our estimate of expected credit losses. Our forecasts include estimates for periods beyond 2026 that are not presented in the table below.</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 Single-Family Macroeconomic Model Inputs</w:t>
      </w:r>
      <w:r>
        <w:rPr>
          <w:rFonts w:ascii="Arial" w:cs="Arial" w:eastAsia="Arial" w:hAnsi="Arial"/>
          <w:sz w:val="24"/>
          <w:szCs w:val="24"/>
          <w:b w:val="1"/>
          <w:bCs w:val="1"/>
          <w:color w:val="00154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38670"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home price growth (decline) rate by period of estimate:</w:t>
      </w:r>
      <w:r>
        <w:rPr>
          <w:rFonts w:ascii="Arial" w:cs="Arial" w:eastAsia="Arial" w:hAnsi="Arial"/>
          <w:sz w:val="20"/>
          <w:szCs w:val="20"/>
          <w:b w:val="1"/>
          <w:bCs w:val="1"/>
          <w:color w:val="auto"/>
          <w:vertAlign w:val="superscript"/>
        </w:rPr>
        <w:t>(2)</w:t>
      </w:r>
    </w:p>
    <w:p>
      <w:pPr>
        <w:spacing w:after="0" w:line="18" w:lineRule="exact"/>
        <w:rPr>
          <w:sz w:val="20"/>
          <w:szCs w:val="20"/>
          <w:color w:val="auto"/>
        </w:rPr>
      </w:pPr>
    </w:p>
    <w:p>
      <w:pPr>
        <w:ind w:left="7380"/>
        <w:spacing w:after="0"/>
        <w:rPr>
          <w:sz w:val="20"/>
          <w:szCs w:val="20"/>
          <w:color w:val="auto"/>
        </w:rPr>
      </w:pPr>
      <w:r>
        <w:rPr>
          <w:rFonts w:ascii="Arial" w:cs="Arial" w:eastAsia="Arial" w:hAnsi="Arial"/>
          <w:sz w:val="15"/>
          <w:szCs w:val="15"/>
          <w:b w:val="1"/>
          <w:bCs w:val="1"/>
          <w:color w:val="auto"/>
        </w:rPr>
        <w:t>For the Full Year ending December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320" w:type="dxa"/>
            <w:vAlign w:val="bottom"/>
          </w:tcPr>
          <w:p>
            <w:pPr>
              <w:spacing w:after="0"/>
              <w:rPr>
                <w:sz w:val="17"/>
                <w:szCs w:val="17"/>
                <w:color w:val="auto"/>
              </w:rPr>
            </w:pPr>
          </w:p>
        </w:tc>
        <w:tc>
          <w:tcPr>
            <w:tcW w:w="1240" w:type="dxa"/>
            <w:vAlign w:val="bottom"/>
            <w:tcBorders>
              <w:top w:val="single" w:sz="8" w:color="2C6937"/>
              <w:bottom w:val="single" w:sz="8" w:color="2C6937"/>
            </w:tcBorders>
          </w:tcPr>
          <w:p>
            <w:pPr>
              <w:jc w:val="right"/>
              <w:ind w:right="83"/>
              <w:spacing w:after="0"/>
              <w:rPr>
                <w:sz w:val="20"/>
                <w:szCs w:val="20"/>
                <w:color w:val="auto"/>
              </w:rPr>
            </w:pPr>
            <w:r>
              <w:rPr>
                <w:rFonts w:ascii="Arial" w:cs="Arial" w:eastAsia="Arial" w:hAnsi="Arial"/>
                <w:sz w:val="15"/>
                <w:szCs w:val="15"/>
                <w:b w:val="1"/>
                <w:bCs w:val="1"/>
                <w:color w:val="auto"/>
              </w:rPr>
              <w:t>2024</w:t>
            </w:r>
          </w:p>
        </w:tc>
        <w:tc>
          <w:tcPr>
            <w:tcW w:w="580" w:type="dxa"/>
            <w:vAlign w:val="bottom"/>
            <w:tcBorders>
              <w:top w:val="single" w:sz="8" w:color="2C6937"/>
              <w:bottom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1480" w:type="dxa"/>
            <w:vAlign w:val="bottom"/>
            <w:tcBorders>
              <w:top w:val="single" w:sz="8" w:color="2C6937"/>
              <w:bottom w:val="single" w:sz="8" w:color="2C6937"/>
            </w:tcBorders>
          </w:tcPr>
          <w:p>
            <w:pPr>
              <w:jc w:val="right"/>
              <w:ind w:right="503"/>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2C6937"/>
            </w:tcBorders>
          </w:tcPr>
          <w:p>
            <w:pPr>
              <w:spacing w:after="0"/>
              <w:rPr>
                <w:sz w:val="17"/>
                <w:szCs w:val="17"/>
                <w:color w:val="auto"/>
              </w:rPr>
            </w:pPr>
          </w:p>
        </w:tc>
        <w:tc>
          <w:tcPr>
            <w:tcW w:w="1420" w:type="dxa"/>
            <w:vAlign w:val="bottom"/>
            <w:tcBorders>
              <w:top w:val="single" w:sz="8" w:color="2C6937"/>
              <w:bottom w:val="single" w:sz="8" w:color="2C6937"/>
            </w:tcBorders>
          </w:tcPr>
          <w:p>
            <w:pPr>
              <w:jc w:val="right"/>
              <w:ind w:right="463"/>
              <w:spacing w:after="0"/>
              <w:rPr>
                <w:sz w:val="20"/>
                <w:szCs w:val="20"/>
                <w:color w:val="auto"/>
              </w:rPr>
            </w:pPr>
            <w:r>
              <w:rPr>
                <w:rFonts w:ascii="Arial" w:cs="Arial" w:eastAsia="Arial" w:hAnsi="Arial"/>
                <w:sz w:val="15"/>
                <w:szCs w:val="15"/>
                <w:b w:val="1"/>
                <w:bCs w:val="1"/>
                <w:color w:val="auto"/>
              </w:rPr>
              <w:t>2026</w:t>
            </w:r>
          </w:p>
        </w:tc>
      </w:tr>
      <w:tr>
        <w:trPr>
          <w:trHeight w:val="210"/>
        </w:trPr>
        <w:tc>
          <w:tcPr>
            <w:tcW w:w="7560" w:type="dxa"/>
            <w:vAlign w:val="bottom"/>
            <w:gridSpan w:val="2"/>
          </w:tcPr>
          <w:p>
            <w:pPr>
              <w:spacing w:after="0"/>
              <w:rPr>
                <w:sz w:val="20"/>
                <w:szCs w:val="20"/>
                <w:color w:val="auto"/>
              </w:rPr>
            </w:pPr>
            <w:r>
              <w:rPr>
                <w:rFonts w:ascii="Arial" w:cs="Arial" w:eastAsia="Arial" w:hAnsi="Arial"/>
                <w:sz w:val="15"/>
                <w:szCs w:val="15"/>
                <w:color w:val="auto"/>
              </w:rPr>
              <w:t>Second Quarter 2024</w:t>
            </w:r>
          </w:p>
        </w:tc>
        <w:tc>
          <w:tcPr>
            <w:tcW w:w="580" w:type="dxa"/>
            <w:vAlign w:val="bottom"/>
          </w:tcPr>
          <w:p>
            <w:pPr>
              <w:ind w:left="160"/>
              <w:spacing w:after="0"/>
              <w:rPr>
                <w:sz w:val="20"/>
                <w:szCs w:val="20"/>
                <w:color w:val="auto"/>
              </w:rPr>
            </w:pPr>
            <w:r>
              <w:rPr>
                <w:rFonts w:ascii="Arial" w:cs="Arial" w:eastAsia="Arial" w:hAnsi="Arial"/>
                <w:sz w:val="15"/>
                <w:szCs w:val="15"/>
                <w:color w:val="auto"/>
              </w:rPr>
              <w:t>6.6 %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3.0 %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0.8 %</w:t>
            </w:r>
          </w:p>
        </w:tc>
      </w:tr>
      <w:tr>
        <w:trPr>
          <w:trHeight w:val="232"/>
        </w:trPr>
        <w:tc>
          <w:tcPr>
            <w:tcW w:w="7560" w:type="dxa"/>
            <w:vAlign w:val="bottom"/>
            <w:gridSpan w:val="2"/>
          </w:tcPr>
          <w:p>
            <w:pPr>
              <w:spacing w:after="0"/>
              <w:rPr>
                <w:sz w:val="20"/>
                <w:szCs w:val="20"/>
                <w:color w:val="auto"/>
              </w:rPr>
            </w:pPr>
            <w:r>
              <w:rPr>
                <w:rFonts w:ascii="Arial" w:cs="Arial" w:eastAsia="Arial" w:hAnsi="Arial"/>
                <w:sz w:val="15"/>
                <w:szCs w:val="15"/>
                <w:color w:val="auto"/>
              </w:rPr>
              <w:t>First Quarter 2024</w:t>
            </w:r>
          </w:p>
        </w:tc>
        <w:tc>
          <w:tcPr>
            <w:tcW w:w="580" w:type="dxa"/>
            <w:vAlign w:val="bottom"/>
          </w:tcPr>
          <w:p>
            <w:pPr>
              <w:ind w:left="160"/>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0"/>
                <w:szCs w:val="20"/>
                <w:color w:val="auto"/>
              </w:rPr>
            </w:pPr>
          </w:p>
        </w:tc>
        <w:tc>
          <w:tcPr>
            <w:tcW w:w="1420" w:type="dxa"/>
            <w:vAlign w:val="bottom"/>
          </w:tcPr>
          <w:p>
            <w:pPr>
              <w:jc w:val="right"/>
              <w:ind w:right="143"/>
              <w:spacing w:after="0"/>
              <w:rPr>
                <w:sz w:val="20"/>
                <w:szCs w:val="20"/>
                <w:color w:val="auto"/>
              </w:rPr>
            </w:pPr>
            <w:r>
              <w:rPr>
                <w:rFonts w:ascii="Arial" w:cs="Arial" w:eastAsia="Arial" w:hAnsi="Arial"/>
                <w:sz w:val="15"/>
                <w:szCs w:val="15"/>
                <w:color w:val="auto"/>
              </w:rPr>
              <w:t>*</w:t>
            </w:r>
          </w:p>
        </w:tc>
      </w:tr>
    </w:tbl>
    <w:p>
      <w:pPr>
        <w:spacing w:after="0" w:line="271" w:lineRule="exact"/>
        <w:rPr>
          <w:sz w:val="20"/>
          <w:szCs w:val="20"/>
          <w:color w:val="auto"/>
        </w:rPr>
      </w:pPr>
    </w:p>
    <w:p>
      <w:pPr>
        <w:ind w:left="7380"/>
        <w:spacing w:after="0"/>
        <w:rPr>
          <w:sz w:val="20"/>
          <w:szCs w:val="20"/>
          <w:color w:val="auto"/>
        </w:rPr>
      </w:pPr>
      <w:r>
        <w:rPr>
          <w:rFonts w:ascii="Arial" w:cs="Arial" w:eastAsia="Arial" w:hAnsi="Arial"/>
          <w:sz w:val="15"/>
          <w:szCs w:val="15"/>
          <w:b w:val="1"/>
          <w:bCs w:val="1"/>
          <w:color w:val="auto"/>
        </w:rPr>
        <w:t>For the Full Year ending December 31,</w:t>
      </w:r>
    </w:p>
    <w:p>
      <w:pPr>
        <w:sectPr>
          <w:pgSz w:w="11900" w:h="16838" w:orient="portrait"/>
          <w:cols w:equalWidth="0" w:num="1">
            <w:col w:w="11240"/>
          </w:cols>
          <w:pgMar w:left="320" w:top="248" w:right="339" w:bottom="1440" w:gutter="0" w:footer="0" w:header="0"/>
        </w:sect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Fourth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2023</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30-year mortgage interest rates by period of estimate:</w:t>
      </w:r>
      <w:r>
        <w:rPr>
          <w:rFonts w:ascii="Arial" w:cs="Arial" w:eastAsia="Arial" w:hAnsi="Arial"/>
          <w:sz w:val="20"/>
          <w:szCs w:val="20"/>
          <w:b w:val="1"/>
          <w:bCs w:val="1"/>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2024</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Fourth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2023</w:t>
      </w:r>
    </w:p>
    <w:p>
      <w:pPr>
        <w:spacing w:after="0" w:line="167" w:lineRule="exact"/>
        <w:rPr>
          <w:sz w:val="20"/>
          <w:szCs w:val="20"/>
          <w:color w:val="auto"/>
        </w:rPr>
      </w:pPr>
    </w:p>
    <w:p>
      <w:pPr>
        <w:ind w:left="200" w:hanging="197"/>
        <w:spacing w:after="0"/>
        <w:tabs>
          <w:tab w:leader="none" w:pos="2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less than 0.05% of home price growth (decline).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820" w:type="dxa"/>
            <w:vAlign w:val="bottom"/>
            <w:tcBorders>
              <w:top w:val="single" w:sz="8" w:color="2C6937"/>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top w:val="single" w:sz="8" w:color="2C6937"/>
            </w:tcBorders>
          </w:tcPr>
          <w:p>
            <w:pPr>
              <w:spacing w:after="0"/>
              <w:rPr>
                <w:sz w:val="17"/>
                <w:szCs w:val="17"/>
                <w:color w:val="auto"/>
              </w:rPr>
            </w:pPr>
          </w:p>
        </w:tc>
        <w:tc>
          <w:tcPr>
            <w:tcW w:w="1480" w:type="dxa"/>
            <w:vAlign w:val="bottom"/>
            <w:tcBorders>
              <w:top w:val="single" w:sz="8" w:color="2C6937"/>
              <w:bottom w:val="single" w:sz="8" w:color="2C6937"/>
            </w:tcBorders>
          </w:tcPr>
          <w:p>
            <w:pPr>
              <w:jc w:val="right"/>
              <w:ind w:right="50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2C6937"/>
            </w:tcBorders>
          </w:tcPr>
          <w:p>
            <w:pPr>
              <w:spacing w:after="0"/>
              <w:rPr>
                <w:sz w:val="17"/>
                <w:szCs w:val="17"/>
                <w:color w:val="auto"/>
              </w:rPr>
            </w:pPr>
          </w:p>
        </w:tc>
        <w:tc>
          <w:tcPr>
            <w:tcW w:w="1420" w:type="dxa"/>
            <w:vAlign w:val="bottom"/>
            <w:tcBorders>
              <w:top w:val="single" w:sz="8" w:color="2C6937"/>
              <w:bottom w:val="single" w:sz="8" w:color="2C6937"/>
            </w:tcBorders>
          </w:tcPr>
          <w:p>
            <w:pPr>
              <w:jc w:val="right"/>
              <w:ind w:right="463"/>
              <w:spacing w:after="0"/>
              <w:rPr>
                <w:sz w:val="20"/>
                <w:szCs w:val="20"/>
                <w:color w:val="auto"/>
              </w:rPr>
            </w:pPr>
            <w:r>
              <w:rPr>
                <w:rFonts w:ascii="Arial" w:cs="Arial" w:eastAsia="Arial" w:hAnsi="Arial"/>
                <w:sz w:val="15"/>
                <w:szCs w:val="15"/>
                <w:b w:val="1"/>
                <w:bCs w:val="1"/>
                <w:color w:val="auto"/>
              </w:rPr>
              <w:t>2025</w:t>
            </w:r>
          </w:p>
        </w:tc>
      </w:tr>
      <w:tr>
        <w:trPr>
          <w:trHeight w:val="210"/>
        </w:trPr>
        <w:tc>
          <w:tcPr>
            <w:tcW w:w="1820" w:type="dxa"/>
            <w:vAlign w:val="bottom"/>
          </w:tcPr>
          <w:p>
            <w:pPr>
              <w:ind w:left="1400"/>
              <w:spacing w:after="0"/>
              <w:rPr>
                <w:sz w:val="20"/>
                <w:szCs w:val="20"/>
                <w:color w:val="auto"/>
              </w:rPr>
            </w:pPr>
            <w:r>
              <w:rPr>
                <w:rFonts w:ascii="Arial" w:cs="Arial" w:eastAsia="Arial" w:hAnsi="Arial"/>
                <w:sz w:val="15"/>
                <w:szCs w:val="15"/>
                <w:color w:val="auto"/>
              </w:rPr>
              <w:t>7.1 %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3.2 %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0.3 %</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20"/>
                <w:szCs w:val="20"/>
                <w:color w:val="auto"/>
              </w:rPr>
            </w:pPr>
          </w:p>
        </w:tc>
        <w:tc>
          <w:tcPr>
            <w:tcW w:w="1420" w:type="dxa"/>
            <w:vAlign w:val="bottom"/>
          </w:tcPr>
          <w:p>
            <w:pPr>
              <w:jc w:val="right"/>
              <w:ind w:right="63"/>
              <w:spacing w:after="0"/>
              <w:rPr>
                <w:sz w:val="20"/>
                <w:szCs w:val="20"/>
                <w:color w:val="auto"/>
              </w:rPr>
            </w:pPr>
            <w:r>
              <w:rPr>
                <w:rFonts w:ascii="Arial" w:cs="Arial" w:eastAsia="Arial" w:hAnsi="Arial"/>
                <w:sz w:val="15"/>
                <w:szCs w:val="15"/>
                <w:color w:val="auto"/>
              </w:rPr>
              <w:t>(0.4)</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20"/>
                <w:szCs w:val="20"/>
                <w:color w:val="auto"/>
              </w:rPr>
            </w:pPr>
          </w:p>
        </w:tc>
        <w:tc>
          <w:tcPr>
            <w:tcW w:w="1480" w:type="dxa"/>
            <w:vAlign w:val="bottom"/>
          </w:tcPr>
          <w:p>
            <w:pPr>
              <w:jc w:val="right"/>
              <w:ind w:right="83"/>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20"/>
                <w:szCs w:val="20"/>
                <w:color w:val="auto"/>
              </w:rPr>
            </w:pPr>
          </w:p>
        </w:tc>
        <w:tc>
          <w:tcPr>
            <w:tcW w:w="1420" w:type="dxa"/>
            <w:vAlign w:val="bottom"/>
          </w:tcPr>
          <w:p>
            <w:pPr>
              <w:jc w:val="right"/>
              <w:ind w:right="63"/>
              <w:spacing w:after="0"/>
              <w:rPr>
                <w:sz w:val="20"/>
                <w:szCs w:val="20"/>
                <w:color w:val="auto"/>
              </w:rPr>
            </w:pPr>
            <w:r>
              <w:rPr>
                <w:rFonts w:ascii="Arial" w:cs="Arial" w:eastAsia="Arial" w:hAnsi="Arial"/>
                <w:sz w:val="15"/>
                <w:szCs w:val="15"/>
                <w:color w:val="auto"/>
              </w:rPr>
              <w:t>(1.5)</w:t>
            </w:r>
          </w:p>
        </w:tc>
      </w:tr>
      <w:tr>
        <w:trPr>
          <w:trHeight w:val="232"/>
        </w:trPr>
        <w:tc>
          <w:tcPr>
            <w:tcW w:w="1820" w:type="dxa"/>
            <w:vAlign w:val="bottom"/>
          </w:tcPr>
          <w:p>
            <w:pPr>
              <w:jc w:val="right"/>
              <w:ind w:right="83"/>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0"/>
                <w:szCs w:val="20"/>
                <w:color w:val="auto"/>
              </w:rPr>
            </w:pPr>
          </w:p>
        </w:tc>
        <w:tc>
          <w:tcPr>
            <w:tcW w:w="1480" w:type="dxa"/>
            <w:vAlign w:val="bottom"/>
          </w:tcPr>
          <w:p>
            <w:pPr>
              <w:jc w:val="right"/>
              <w:ind w:right="83"/>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0"/>
                <w:szCs w:val="20"/>
                <w:color w:val="auto"/>
              </w:rPr>
            </w:pPr>
          </w:p>
        </w:tc>
        <w:tc>
          <w:tcPr>
            <w:tcW w:w="1420" w:type="dxa"/>
            <w:vAlign w:val="bottom"/>
          </w:tcPr>
          <w:p>
            <w:pPr>
              <w:jc w:val="right"/>
              <w:ind w:right="63"/>
              <w:spacing w:after="0"/>
              <w:rPr>
                <w:sz w:val="20"/>
                <w:szCs w:val="20"/>
                <w:color w:val="auto"/>
              </w:rPr>
            </w:pPr>
            <w:r>
              <w:rPr>
                <w:rFonts w:ascii="Arial" w:cs="Arial" w:eastAsia="Arial" w:hAnsi="Arial"/>
                <w:sz w:val="15"/>
                <w:szCs w:val="15"/>
                <w:color w:val="auto"/>
              </w:rPr>
              <w:t>(1.1)</w:t>
            </w:r>
          </w:p>
        </w:tc>
      </w:tr>
    </w:tbl>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Through the end of</w:t>
            </w:r>
          </w:p>
        </w:tc>
        <w:tc>
          <w:tcPr>
            <w:tcW w:w="3000" w:type="dxa"/>
            <w:vAlign w:val="bottom"/>
            <w:gridSpan w:val="4"/>
          </w:tcPr>
          <w:p>
            <w:pPr>
              <w:jc w:val="center"/>
              <w:spacing w:after="0"/>
              <w:rPr>
                <w:sz w:val="20"/>
                <w:szCs w:val="20"/>
                <w:color w:val="auto"/>
              </w:rPr>
            </w:pPr>
            <w:r>
              <w:rPr>
                <w:rFonts w:ascii="Arial" w:cs="Arial" w:eastAsia="Arial" w:hAnsi="Arial"/>
                <w:sz w:val="15"/>
                <w:szCs w:val="15"/>
                <w:b w:val="1"/>
                <w:bCs w:val="1"/>
                <w:color w:val="auto"/>
              </w:rPr>
              <w:t>For the Full Year ending</w:t>
            </w:r>
          </w:p>
        </w:tc>
      </w:tr>
      <w:tr>
        <w:trPr>
          <w:trHeight w:val="226"/>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December 31,</w:t>
            </w:r>
          </w:p>
        </w:tc>
        <w:tc>
          <w:tcPr>
            <w:tcW w:w="2060" w:type="dxa"/>
            <w:vAlign w:val="bottom"/>
            <w:gridSpan w:val="3"/>
          </w:tcPr>
          <w:p>
            <w:pPr>
              <w:jc w:val="center"/>
              <w:ind w:left="863"/>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Pr>
          <w:p>
            <w:pPr>
              <w:spacing w:after="0"/>
              <w:rPr>
                <w:sz w:val="19"/>
                <w:szCs w:val="19"/>
                <w:color w:val="auto"/>
              </w:rPr>
            </w:pPr>
          </w:p>
        </w:tc>
      </w:tr>
      <w:tr>
        <w:trPr>
          <w:trHeight w:val="206"/>
        </w:trPr>
        <w:tc>
          <w:tcPr>
            <w:tcW w:w="182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17"/>
                <w:szCs w:val="17"/>
                <w:color w:val="auto"/>
              </w:rPr>
            </w:pPr>
          </w:p>
        </w:tc>
        <w:tc>
          <w:tcPr>
            <w:tcW w:w="1480" w:type="dxa"/>
            <w:vAlign w:val="bottom"/>
            <w:tcBorders>
              <w:top w:val="single" w:sz="8" w:color="2C6937"/>
              <w:bottom w:val="single" w:sz="8" w:color="2C6937"/>
            </w:tcBorders>
          </w:tcPr>
          <w:p>
            <w:pPr>
              <w:ind w:left="560"/>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2C6937"/>
            </w:tcBorders>
          </w:tcPr>
          <w:p>
            <w:pPr>
              <w:spacing w:after="0"/>
              <w:rPr>
                <w:sz w:val="17"/>
                <w:szCs w:val="17"/>
                <w:color w:val="auto"/>
              </w:rPr>
            </w:pPr>
          </w:p>
        </w:tc>
        <w:tc>
          <w:tcPr>
            <w:tcW w:w="48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ind w:left="60"/>
              <w:spacing w:after="0"/>
              <w:rPr>
                <w:sz w:val="20"/>
                <w:szCs w:val="20"/>
                <w:color w:val="auto"/>
              </w:rPr>
            </w:pPr>
            <w:r>
              <w:rPr>
                <w:rFonts w:ascii="Arial" w:cs="Arial" w:eastAsia="Arial" w:hAnsi="Arial"/>
                <w:sz w:val="15"/>
                <w:szCs w:val="15"/>
                <w:b w:val="1"/>
                <w:bCs w:val="1"/>
                <w:color w:val="auto"/>
              </w:rPr>
              <w:t>2026</w:t>
            </w:r>
          </w:p>
        </w:tc>
      </w:tr>
      <w:tr>
        <w:trPr>
          <w:trHeight w:val="210"/>
        </w:trPr>
        <w:tc>
          <w:tcPr>
            <w:tcW w:w="1820" w:type="dxa"/>
            <w:vAlign w:val="bottom"/>
          </w:tcPr>
          <w:p>
            <w:pPr>
              <w:ind w:left="1400"/>
              <w:spacing w:after="0"/>
              <w:rPr>
                <w:sz w:val="20"/>
                <w:szCs w:val="20"/>
                <w:color w:val="auto"/>
              </w:rPr>
            </w:pPr>
            <w:r>
              <w:rPr>
                <w:rFonts w:ascii="Arial" w:cs="Arial" w:eastAsia="Arial" w:hAnsi="Arial"/>
                <w:sz w:val="15"/>
                <w:szCs w:val="15"/>
                <w:color w:val="auto"/>
              </w:rPr>
              <w:t>7.0 %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6.6 %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6.4 %</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6.8</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6.2</w:t>
            </w:r>
          </w:p>
        </w:tc>
      </w:tr>
      <w:tr>
        <w:trPr>
          <w:trHeight w:val="451"/>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Through the end of</w:t>
            </w:r>
          </w:p>
        </w:tc>
        <w:tc>
          <w:tcPr>
            <w:tcW w:w="3000" w:type="dxa"/>
            <w:vAlign w:val="bottom"/>
            <w:gridSpan w:val="4"/>
          </w:tcPr>
          <w:p>
            <w:pPr>
              <w:jc w:val="center"/>
              <w:spacing w:after="0"/>
              <w:rPr>
                <w:sz w:val="20"/>
                <w:szCs w:val="20"/>
                <w:color w:val="auto"/>
              </w:rPr>
            </w:pPr>
            <w:r>
              <w:rPr>
                <w:rFonts w:ascii="Arial" w:cs="Arial" w:eastAsia="Arial" w:hAnsi="Arial"/>
                <w:sz w:val="15"/>
                <w:szCs w:val="15"/>
                <w:b w:val="1"/>
                <w:bCs w:val="1"/>
                <w:color w:val="auto"/>
              </w:rPr>
              <w:t>For the Full Year ending</w:t>
            </w:r>
          </w:p>
        </w:tc>
      </w:tr>
      <w:tr>
        <w:trPr>
          <w:trHeight w:val="226"/>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December 31,</w:t>
            </w:r>
          </w:p>
        </w:tc>
        <w:tc>
          <w:tcPr>
            <w:tcW w:w="2060" w:type="dxa"/>
            <w:vAlign w:val="bottom"/>
            <w:gridSpan w:val="3"/>
          </w:tcPr>
          <w:p>
            <w:pPr>
              <w:jc w:val="center"/>
              <w:ind w:left="863"/>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Pr>
          <w:p>
            <w:pPr>
              <w:spacing w:after="0"/>
              <w:rPr>
                <w:sz w:val="19"/>
                <w:szCs w:val="19"/>
                <w:color w:val="auto"/>
              </w:rPr>
            </w:pPr>
          </w:p>
        </w:tc>
      </w:tr>
      <w:tr>
        <w:trPr>
          <w:trHeight w:val="206"/>
        </w:trPr>
        <w:tc>
          <w:tcPr>
            <w:tcW w:w="182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7"/>
                <w:szCs w:val="17"/>
                <w:color w:val="auto"/>
              </w:rPr>
            </w:pPr>
          </w:p>
        </w:tc>
        <w:tc>
          <w:tcPr>
            <w:tcW w:w="1480" w:type="dxa"/>
            <w:vAlign w:val="bottom"/>
            <w:tcBorders>
              <w:top w:val="single" w:sz="8" w:color="2C6937"/>
              <w:bottom w:val="single" w:sz="8" w:color="2C6937"/>
            </w:tcBorders>
          </w:tcPr>
          <w:p>
            <w:pPr>
              <w:ind w:left="560"/>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2C6937"/>
            </w:tcBorders>
          </w:tcPr>
          <w:p>
            <w:pPr>
              <w:spacing w:after="0"/>
              <w:rPr>
                <w:sz w:val="17"/>
                <w:szCs w:val="17"/>
                <w:color w:val="auto"/>
              </w:rPr>
            </w:pPr>
          </w:p>
        </w:tc>
        <w:tc>
          <w:tcPr>
            <w:tcW w:w="48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ind w:left="60"/>
              <w:spacing w:after="0"/>
              <w:rPr>
                <w:sz w:val="20"/>
                <w:szCs w:val="20"/>
                <w:color w:val="auto"/>
              </w:rPr>
            </w:pPr>
            <w:r>
              <w:rPr>
                <w:rFonts w:ascii="Arial" w:cs="Arial" w:eastAsia="Arial" w:hAnsi="Arial"/>
                <w:sz w:val="15"/>
                <w:szCs w:val="15"/>
                <w:b w:val="1"/>
                <w:bCs w:val="1"/>
                <w:color w:val="auto"/>
              </w:rPr>
              <w:t>2025</w:t>
            </w:r>
          </w:p>
        </w:tc>
      </w:tr>
      <w:tr>
        <w:trPr>
          <w:trHeight w:val="210"/>
        </w:trPr>
        <w:tc>
          <w:tcPr>
            <w:tcW w:w="1820" w:type="dxa"/>
            <w:vAlign w:val="bottom"/>
          </w:tcPr>
          <w:p>
            <w:pPr>
              <w:ind w:left="1400"/>
              <w:spacing w:after="0"/>
              <w:rPr>
                <w:sz w:val="20"/>
                <w:szCs w:val="20"/>
                <w:color w:val="auto"/>
              </w:rPr>
            </w:pPr>
            <w:r>
              <w:rPr>
                <w:rFonts w:ascii="Arial" w:cs="Arial" w:eastAsia="Arial" w:hAnsi="Arial"/>
                <w:sz w:val="15"/>
                <w:szCs w:val="15"/>
                <w:color w:val="auto"/>
              </w:rPr>
              <w:t>6.8 %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6.4 %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6.0 %</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7.5</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6.8</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5.8</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6.2</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5.5</w:t>
            </w:r>
          </w:p>
        </w:tc>
      </w:tr>
    </w:tbl>
    <w:p>
      <w:pPr>
        <w:spacing w:after="0" w:line="329" w:lineRule="exact"/>
        <w:rPr>
          <w:sz w:val="20"/>
          <w:szCs w:val="20"/>
          <w:color w:val="auto"/>
        </w:rPr>
      </w:pPr>
    </w:p>
    <w:p>
      <w:pPr>
        <w:sectPr>
          <w:pgSz w:w="11900" w:h="16838" w:orient="portrait"/>
          <w:cols w:equalWidth="0" w:num="2">
            <w:col w:w="5620" w:space="720"/>
            <w:col w:w="4900"/>
          </w:cols>
          <w:pgMar w:left="320" w:top="248" w:right="339" w:bottom="1440" w:gutter="0" w:footer="0" w:header="0"/>
          <w:type w:val="continuous"/>
        </w:sectPr>
      </w:pPr>
    </w:p>
    <w:p>
      <w:pPr>
        <w:ind w:left="240" w:right="260" w:hanging="237"/>
        <w:spacing w:after="0" w:line="233" w:lineRule="auto"/>
        <w:tabs>
          <w:tab w:leader="none" w:pos="233"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These forecasts are provided here solely for the purpose of providing insight into our credit loss model. Forecasts for future periods are subject to significant uncertainty, which increases for periods that are further in the future. We provide our most recent forecasts for certain macroeconomic and housing market conditions in “Key Market Economic Indicators.” In addition, each month our Economic &amp; Strategic Research group provides its forecast of economic and housing market conditions, which are available in the “About Us/Research and Insights” section of our website, www.fanniemae.com. Information on our website is not incorporated into this report.</w:t>
      </w:r>
    </w:p>
    <w:p>
      <w:pPr>
        <w:spacing w:after="0" w:line="26" w:lineRule="exact"/>
        <w:rPr>
          <w:rFonts w:ascii="Arial" w:cs="Arial" w:eastAsia="Arial" w:hAnsi="Arial"/>
          <w:sz w:val="18"/>
          <w:szCs w:val="18"/>
          <w:color w:val="auto"/>
          <w:vertAlign w:val="superscript"/>
        </w:rPr>
      </w:pPr>
    </w:p>
    <w:p>
      <w:pPr>
        <w:ind w:left="240" w:right="60" w:hanging="237"/>
        <w:spacing w:after="0" w:line="238" w:lineRule="auto"/>
        <w:tabs>
          <w:tab w:leader="none" w:pos="233"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These estimates are based on our national home price index, which is calculated differently from the S&amp;P/Case-Shiller U.S. National Home Price Index and therefore results in different percentages for comparable growth. We periodically update our home price growth estimates and forecasts as new data become available. As a result, the forecast data in this table may also differ from the forecasted home price growth rate presented in “Key Market Economic Indicators,” because that section reflects our most recent forecast as of the filing date of this report, while this table reflects the quantitative forecast data we used in our model to estimate credit losses for the periods shown. Management continues to monitor macroeconomic updates to our inputs in our credit loss model from the time they are approved as part of our established governance process to ensure the reasonableness of the inputs used to calculate estimated credit losses. The forecast data excludes the impact of any qualitative adjustments.</w:t>
      </w:r>
    </w:p>
    <w:p>
      <w:pPr>
        <w:spacing w:after="0" w:line="27" w:lineRule="exact"/>
        <w:rPr>
          <w:rFonts w:ascii="Arial" w:cs="Arial" w:eastAsia="Arial" w:hAnsi="Arial"/>
          <w:sz w:val="18"/>
          <w:szCs w:val="18"/>
          <w:color w:val="auto"/>
          <w:vertAlign w:val="superscript"/>
        </w:rPr>
      </w:pPr>
    </w:p>
    <w:p>
      <w:pPr>
        <w:ind w:left="240" w:right="160" w:hanging="237"/>
        <w:spacing w:after="0" w:line="218" w:lineRule="auto"/>
        <w:tabs>
          <w:tab w:leader="none" w:pos="233"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Forecasted 30-year interest rates represent the mean of possible future interest rate environments that are simulated by our interest rate model and used in the estimation of credit losses. Forecasts through the end of December 31, 2024 and 2023 represent the average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56</w:t>
            </w:r>
          </w:p>
        </w:tc>
      </w:tr>
      <w:tr>
        <w:trPr>
          <w:trHeight w:val="194"/>
        </w:trPr>
        <w:tc>
          <w:tcPr>
            <w:tcW w:w="69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59" w:name="page60"/>
    <w:bookmarkEnd w:id="59"/>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240" w:right="180"/>
        <w:spacing w:after="0" w:line="264" w:lineRule="auto"/>
        <w:rPr>
          <w:sz w:val="20"/>
          <w:szCs w:val="20"/>
          <w:color w:val="auto"/>
        </w:rPr>
      </w:pPr>
      <w:r>
        <w:rPr>
          <w:rFonts w:ascii="Arial" w:cs="Arial" w:eastAsia="Arial" w:hAnsi="Arial"/>
          <w:sz w:val="14"/>
          <w:szCs w:val="14"/>
          <w:color w:val="auto"/>
        </w:rPr>
        <w:t>forecasted rate from the quarter-end through the calendar year end of December 31st. The fourth quarter of 2023 interest rate represents the 30-year interest rate as of December 31, 2023. This table reflects the forecasted interest rate data we used in estimating credit losses for the periods shown and does not reflect changes in interest rates that occurred after the forecast date.</w:t>
      </w:r>
    </w:p>
    <w:p>
      <w:pPr>
        <w:spacing w:after="0" w:line="2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It is difficult to estimate how potential changes in any one factor or input might affect the overall credit loss estimates, because management considers a wide variety of factors and inputs in estimating the allowance for loan losses. Changes in the factors and inputs considered may not occur at the same rate and may not be consistent across all geographies or loan types, and changes in factors and inputs may be directionally inconsistent, such that improvement in one factor or input may offset deterioration in others. Changes in our assumptions and forecasts of economic conditions could significantly affect our estimate of expected credit losses and lead to significant changes in the estimate from one reporting period to the next.</w:t>
      </w:r>
    </w:p>
    <w:p>
      <w:pPr>
        <w:spacing w:after="0" w:line="3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As noted above, our allowance for loan losses is sensitive to changes in home prices and interest rate changes. To consider the impact of a hypothetical change in home prices, assuming a positive one-percentage point change in the home price growth rate for the first twelve months of the forecast, on a normalized basis, with all other factors held constant, the single-family allowance for loan losses as of June 30, 2024 would decrease by approximately 3%. Conversely, assuming a negative one-percentage point change in the home price growth rate for the first twelve months of the forecast, on a normalized basis, the single-family allowance for loan losses would increase by approximately 3%.</w:t>
      </w:r>
    </w:p>
    <w:p>
      <w:pPr>
        <w:spacing w:after="0" w:line="38" w:lineRule="exact"/>
        <w:rPr>
          <w:sz w:val="20"/>
          <w:szCs w:val="20"/>
          <w:color w:val="auto"/>
        </w:rPr>
      </w:pPr>
    </w:p>
    <w:p>
      <w:pPr>
        <w:jc w:val="both"/>
        <w:ind w:right="180"/>
        <w:spacing w:after="0" w:line="281" w:lineRule="auto"/>
        <w:rPr>
          <w:sz w:val="20"/>
          <w:szCs w:val="20"/>
          <w:color w:val="auto"/>
        </w:rPr>
      </w:pPr>
      <w:r>
        <w:rPr>
          <w:rFonts w:ascii="Arial" w:cs="Arial" w:eastAsia="Arial" w:hAnsi="Arial"/>
          <w:sz w:val="16"/>
          <w:szCs w:val="16"/>
          <w:color w:val="auto"/>
        </w:rPr>
        <w:t>To consider the impact of a hypothetical change in 30-year interest rates, assuming a 50-basis point increase in estimated 30-year interest rates, with all other factors held constant, the single-family allowance for loan losses as of June 30, 2024 would increase by approximately 3%. Conversely, assuming a 50-basis point decrease in 30-year interest rates, the single-family allowance for loan losses would decrease by approximately 4%.</w:t>
      </w:r>
    </w:p>
    <w:p>
      <w:pPr>
        <w:spacing w:after="0" w:line="2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These sensitivity analyses are hypothetical and are provided solely for the purpose of providing insight into our credit loss model inputs. In addition, sensitivities for home price and interest rate changes are non-linear. As a result, changes in these estimates are not incrementally proportional. The purpose of this analysis is to provide an indication of the impact of home price appreciation and 30-year interest rates on the estimate of the allowance for credit losses. For example, it is not intended to imply management’s expectation of future changes in our forecasts or any other variables that may change as a result.</w:t>
      </w:r>
    </w:p>
    <w:p>
      <w:pPr>
        <w:spacing w:after="0" w:line="38"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We provide more detailed information on our accounting for the allowance for loan losses in “Note 1, Summary of Significant Accounting Policies” in our 2023 Form 10-K. See “Note 5, Allowance for Loan Losses” for additional information about our current period benefit for loan losses.</w:t>
      </w:r>
    </w:p>
    <w:p>
      <w:pPr>
        <w:spacing w:after="0" w:line="15"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See “Key Market Economic Indicators” in our 2023 Form 10-K for additional information about how home prices can affect our credit loss estimates. See “Key Market Economic Indicators” in this report for a discussion of home price growth rates and our home price forecast. Also see “Consolidated Results of Operations—Benefit (Provision) for Credit Losses” in this report for information on how our home price forecast impacted our single-family benefit for credit losses.</w:t>
      </w:r>
    </w:p>
    <w:p>
      <w:pPr>
        <w:spacing w:after="0" w:line="130"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Impact of Future Adoption of New Accounting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80"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We identify and discuss the expected impact on our condensed consolidated financial statements of recently issued accounting guidance in “Note 1, Summary of Significant Accounting Policies.”</w:t>
      </w:r>
    </w:p>
    <w:p>
      <w:pPr>
        <w:spacing w:after="0" w:line="11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This report includes statements that constitute forward-looking statements within the meaning of Section 21E of the Securities Exchange Act of 1934 (the “Exchange Act”). In addition, we and our senior management may from time to time make forward-looking statements in our other filings with the SEC, our other publicly available written statements, and orally to analysts, investors, the news media and others. Forward-looking statements often include words such as “expect,” “anticipate,” “intend,” “plan,” “believe,” “seek,” “estimate,” “forecast,” “project,” “would,” “should,” “could,” “likely,” “may,” “will” or similar words. Examples of forward-looking statements in this report include, among others, statements relating to our beliefs and expectations regarding the following matters:</w:t>
      </w:r>
    </w:p>
    <w:p>
      <w:pPr>
        <w:spacing w:after="0" w:line="54" w:lineRule="exact"/>
        <w:rPr>
          <w:sz w:val="20"/>
          <w:szCs w:val="20"/>
          <w:color w:val="auto"/>
        </w:rPr>
      </w:pPr>
    </w:p>
    <w:p>
      <w:pPr>
        <w:ind w:left="620" w:right="40" w:hanging="307"/>
        <w:spacing w:after="0" w:line="272" w:lineRule="auto"/>
        <w:tabs>
          <w:tab w:leader="none" w:pos="612" w:val="left"/>
        </w:tabs>
        <w:numPr>
          <w:ilvl w:val="0"/>
          <w:numId w:val="61"/>
        </w:numPr>
        <w:rPr>
          <w:rFonts w:ascii="Arial" w:cs="Arial" w:eastAsia="Arial" w:hAnsi="Arial"/>
          <w:sz w:val="16"/>
          <w:szCs w:val="16"/>
          <w:i w:val="1"/>
          <w:iCs w:val="1"/>
          <w:color w:val="auto"/>
        </w:rPr>
      </w:pPr>
      <w:r>
        <w:rPr>
          <w:rFonts w:ascii="Arial" w:cs="Arial" w:eastAsia="Arial" w:hAnsi="Arial"/>
          <w:sz w:val="16"/>
          <w:szCs w:val="16"/>
          <w:color w:val="auto"/>
        </w:rPr>
        <w:t>economic, mortgage market and housing market conditions (including expectations regarding economic growth, home price growth, unemployment rates, loan origination volumes and interest rates), the factors that will affect those conditions, and the impact of those conditions on our business and financial results;</w:t>
      </w:r>
    </w:p>
    <w:p>
      <w:pPr>
        <w:spacing w:after="0" w:line="31" w:lineRule="exact"/>
        <w:rPr>
          <w:rFonts w:ascii="Arial" w:cs="Arial" w:eastAsia="Arial" w:hAnsi="Arial"/>
          <w:sz w:val="16"/>
          <w:szCs w:val="16"/>
          <w:i w:val="1"/>
          <w:iCs w:val="1"/>
          <w:color w:val="auto"/>
        </w:rPr>
      </w:pPr>
    </w:p>
    <w:p>
      <w:pPr>
        <w:ind w:left="620" w:hanging="307"/>
        <w:spacing w:after="0"/>
        <w:tabs>
          <w:tab w:leader="none" w:pos="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impact of hedge accounting on the volatility of our financial results;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future aggregate liquidation preference of our senior preferred stock;</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future dividend payments on the senior preferred stock;</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57</w:t>
            </w:r>
          </w:p>
        </w:tc>
      </w:tr>
      <w:tr>
        <w:trPr>
          <w:trHeight w:val="207"/>
        </w:trPr>
        <w:tc>
          <w:tcPr>
            <w:tcW w:w="69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0" w:name="page61"/>
    <w:bookmarkEnd w:id="60"/>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hanging="307"/>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business plans and strategies, and their impact;</w:t>
      </w:r>
    </w:p>
    <w:p>
      <w:pPr>
        <w:spacing w:after="0" w:line="86" w:lineRule="exact"/>
        <w:rPr>
          <w:rFonts w:ascii="Arial" w:cs="Arial" w:eastAsia="Arial" w:hAnsi="Arial"/>
          <w:sz w:val="16"/>
          <w:szCs w:val="16"/>
          <w:color w:val="auto"/>
        </w:rPr>
      </w:pPr>
    </w:p>
    <w:p>
      <w:pPr>
        <w:ind w:left="620" w:right="80" w:hanging="307"/>
        <w:spacing w:after="0" w:line="293" w:lineRule="auto"/>
        <w:tabs>
          <w:tab w:leader="none" w:pos="61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credit performance of the loans in our guaranty book of business (including future loan delinquencies and foreclosures) and the factors that will affect such performance;</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effects of our credit risk transfer transactions, as well as the factors that will affect our engagement in future credit risk transfer transactions;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how we intend to repay our debt obligations;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impact of the adoption of new accounting guidance;</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payments to HUD and Treasury funds under the GSE Act;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legal and regulatory proceedings; and</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risks to our business.</w:t>
      </w:r>
    </w:p>
    <w:p>
      <w:pPr>
        <w:spacing w:after="0" w:line="8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Forward-looking statements reflect our management’s current expectations, forecasts or predictions of future conditions, events or results based on various assumptions and management’s estimates of trends and economic conditions in the markets in which we are active and that otherwise impact our business plans. Forward-looking statements are not guarantees of future performance. By their nature, forward-looking statements are subject to significant risks and uncertainties and changes in circumstances. Our actual results and financial condition may differ, possibly materially, from the anticipated results and financial condition indicated in these forward-looking statements.</w:t>
      </w:r>
    </w:p>
    <w:p>
      <w:pPr>
        <w:spacing w:after="0" w:line="53" w:lineRule="exact"/>
        <w:rPr>
          <w:sz w:val="20"/>
          <w:szCs w:val="20"/>
          <w:color w:val="auto"/>
        </w:rPr>
      </w:pPr>
    </w:p>
    <w:p>
      <w:pPr>
        <w:ind w:right="780"/>
        <w:spacing w:after="0" w:line="293" w:lineRule="auto"/>
        <w:rPr>
          <w:sz w:val="20"/>
          <w:szCs w:val="20"/>
          <w:color w:val="auto"/>
        </w:rPr>
      </w:pPr>
      <w:r>
        <w:rPr>
          <w:rFonts w:ascii="Arial" w:cs="Arial" w:eastAsia="Arial" w:hAnsi="Arial"/>
          <w:sz w:val="16"/>
          <w:szCs w:val="16"/>
          <w:color w:val="auto"/>
        </w:rPr>
        <w:t>There are a number of factors that could cause actual conditions, events or results to differ materially from those described in our forward-looking statements, including, among others, the following:</w:t>
      </w:r>
    </w:p>
    <w:p>
      <w:pPr>
        <w:spacing w:after="0" w:line="15" w:lineRule="exact"/>
        <w:rPr>
          <w:sz w:val="20"/>
          <w:szCs w:val="20"/>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factors that will affect future economic conditions, including the persistence of inflationary pressures and the risk of financial market disruptions;</w:t>
      </w:r>
    </w:p>
    <w:p>
      <w:pPr>
        <w:spacing w:after="0" w:line="86" w:lineRule="exact"/>
        <w:rPr>
          <w:rFonts w:ascii="Arial" w:cs="Arial" w:eastAsia="Arial" w:hAnsi="Arial"/>
          <w:sz w:val="16"/>
          <w:szCs w:val="16"/>
          <w:color w:val="auto"/>
        </w:rPr>
      </w:pPr>
    </w:p>
    <w:p>
      <w:pPr>
        <w:ind w:left="620" w:right="180" w:hanging="307"/>
        <w:spacing w:after="0" w:line="293" w:lineRule="auto"/>
        <w:tabs>
          <w:tab w:leader="none" w:pos="612" w:val="left"/>
        </w:tabs>
        <w:numPr>
          <w:ilvl w:val="0"/>
          <w:numId w:val="63"/>
        </w:numPr>
        <w:rPr>
          <w:rFonts w:ascii="Arial" w:cs="Arial" w:eastAsia="Arial" w:hAnsi="Arial"/>
          <w:sz w:val="16"/>
          <w:szCs w:val="16"/>
          <w:color w:val="auto"/>
        </w:rPr>
      </w:pPr>
      <w:r>
        <w:rPr>
          <w:rFonts w:ascii="Arial" w:cs="Arial" w:eastAsia="Arial" w:hAnsi="Arial"/>
          <w:sz w:val="16"/>
          <w:szCs w:val="16"/>
          <w:color w:val="auto"/>
        </w:rPr>
        <w:t>growth, deterioration and the overall health and stability of the U.S. economy, including GDP, unemployment rates, personal income, inflation and other indicators thereof;</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timing and level of, as well as regional variation in, home price changes;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volume of mortgage originations;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size and our share of the U.S. mortgage market and the factors that affect them, including population growth and household formation;</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changes in fiscal or monetary policy of the U.S. or other countries, and the impact of such changes on domestic and international financial markets;</w:t>
      </w:r>
    </w:p>
    <w:p>
      <w:pPr>
        <w:spacing w:after="0" w:line="86" w:lineRule="exact"/>
        <w:rPr>
          <w:rFonts w:ascii="Arial" w:cs="Arial" w:eastAsia="Arial" w:hAnsi="Arial"/>
          <w:sz w:val="16"/>
          <w:szCs w:val="16"/>
          <w:color w:val="auto"/>
        </w:rPr>
      </w:pPr>
    </w:p>
    <w:p>
      <w:pPr>
        <w:ind w:left="620" w:right="240" w:hanging="307"/>
        <w:spacing w:after="0" w:line="310" w:lineRule="auto"/>
        <w:tabs>
          <w:tab w:leader="none" w:pos="612" w:val="left"/>
        </w:tabs>
        <w:numPr>
          <w:ilvl w:val="0"/>
          <w:numId w:val="63"/>
        </w:numPr>
        <w:rPr>
          <w:rFonts w:ascii="Arial" w:cs="Arial" w:eastAsia="Arial" w:hAnsi="Arial"/>
          <w:sz w:val="16"/>
          <w:szCs w:val="16"/>
          <w:color w:val="auto"/>
        </w:rPr>
      </w:pPr>
      <w:r>
        <w:rPr>
          <w:rFonts w:ascii="Arial" w:cs="Arial" w:eastAsia="Arial" w:hAnsi="Arial"/>
          <w:sz w:val="16"/>
          <w:szCs w:val="16"/>
          <w:color w:val="auto"/>
        </w:rPr>
        <w:t>domestic, regional and global political risks and uncertainties, including the impact of conflict in the Middle East, the Russian war in Ukraine, and tensions between China and Taiwan;</w:t>
      </w:r>
    </w:p>
    <w:p>
      <w:pPr>
        <w:spacing w:after="0" w:line="1" w:lineRule="exact"/>
        <w:rPr>
          <w:rFonts w:ascii="Arial" w:cs="Arial" w:eastAsia="Arial" w:hAnsi="Arial"/>
          <w:sz w:val="16"/>
          <w:szCs w:val="16"/>
          <w:color w:val="auto"/>
        </w:rPr>
      </w:pPr>
    </w:p>
    <w:p>
      <w:pPr>
        <w:ind w:left="620" w:right="60" w:hanging="307"/>
        <w:spacing w:after="0" w:line="293" w:lineRule="auto"/>
        <w:tabs>
          <w:tab w:leader="none" w:pos="61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impact of stress in the banking sector on the financial condition and business activities of our counterparties, including stress on regional banks and on banks with significant exposure to commercial real estate;</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future interest rates and credit spreads;</w:t>
      </w:r>
    </w:p>
    <w:p>
      <w:pPr>
        <w:spacing w:after="0" w:line="86" w:lineRule="exact"/>
        <w:rPr>
          <w:rFonts w:ascii="Arial" w:cs="Arial" w:eastAsia="Arial" w:hAnsi="Arial"/>
          <w:sz w:val="16"/>
          <w:szCs w:val="16"/>
          <w:color w:val="auto"/>
        </w:rPr>
      </w:pPr>
    </w:p>
    <w:p>
      <w:pPr>
        <w:ind w:left="620" w:right="80" w:hanging="307"/>
        <w:spacing w:after="0" w:line="271" w:lineRule="auto"/>
        <w:tabs>
          <w:tab w:leader="none" w:pos="612"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developments that may be difficult to predict, including: market conditions that result in changes in our deferred guaranty fee income or changes in net interest income from our portfolios; fluctuations in the estimated fair value of our derivatives and other financial instruments that we mark to market through our earnings; and developments that affect our loss reserves, such as changes in interest rates, home prices or accounting standards;</w:t>
      </w:r>
    </w:p>
    <w:p>
      <w:pPr>
        <w:spacing w:after="0" w:line="32"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disruptions or instability in the housing and credit markets;</w:t>
      </w:r>
    </w:p>
    <w:p>
      <w:pPr>
        <w:spacing w:after="0" w:line="86" w:lineRule="exact"/>
        <w:rPr>
          <w:rFonts w:ascii="Arial" w:cs="Arial" w:eastAsia="Arial" w:hAnsi="Arial"/>
          <w:sz w:val="16"/>
          <w:szCs w:val="16"/>
          <w:color w:val="auto"/>
        </w:rPr>
      </w:pPr>
    </w:p>
    <w:p>
      <w:pPr>
        <w:ind w:left="620" w:right="120" w:hanging="307"/>
        <w:spacing w:after="0" w:line="293" w:lineRule="auto"/>
        <w:tabs>
          <w:tab w:leader="none" w:pos="612" w:val="left"/>
        </w:tabs>
        <w:numPr>
          <w:ilvl w:val="0"/>
          <w:numId w:val="63"/>
        </w:numPr>
        <w:rPr>
          <w:rFonts w:ascii="Arial" w:cs="Arial" w:eastAsia="Arial" w:hAnsi="Arial"/>
          <w:sz w:val="16"/>
          <w:szCs w:val="16"/>
          <w:color w:val="auto"/>
        </w:rPr>
      </w:pPr>
      <w:r>
        <w:rPr>
          <w:rFonts w:ascii="Arial" w:cs="Arial" w:eastAsia="Arial" w:hAnsi="Arial"/>
          <w:sz w:val="16"/>
          <w:szCs w:val="16"/>
          <w:color w:val="auto"/>
        </w:rPr>
        <w:t>changes in the demand for Fannie Mae MBS, our debt securities or our credit risk transfer securities, in general or from one or more major groups of investors;</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constraints on our entry into new credit risk transfer transactions;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decrease in our credit ratings;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limitations on our ability to access the debt capital markets;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size, composition, quality and performance of our guaranty book of business and retained mortgage portfolio;</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how long loans in our guaranty book of business remain outstanding;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58</w:t>
            </w:r>
          </w:p>
        </w:tc>
      </w:tr>
      <w:tr>
        <w:trPr>
          <w:trHeight w:val="207"/>
        </w:trPr>
        <w:tc>
          <w:tcPr>
            <w:tcW w:w="69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1" w:name="page62"/>
    <w:bookmarkEnd w:id="61"/>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and our competitors’ future guaranty fee pricing and the impact of that pricing on our competitive environment and guaranty fee revenues;</w:t>
      </w:r>
    </w:p>
    <w:p>
      <w:pPr>
        <w:spacing w:after="0" w:line="86" w:lineRule="exact"/>
        <w:rPr>
          <w:rFonts w:ascii="Arial" w:cs="Arial" w:eastAsia="Arial" w:hAnsi="Arial"/>
          <w:sz w:val="16"/>
          <w:szCs w:val="16"/>
          <w:color w:val="auto"/>
        </w:rPr>
      </w:pPr>
    </w:p>
    <w:p>
      <w:pPr>
        <w:ind w:left="620" w:right="220" w:hanging="307"/>
        <w:spacing w:after="0" w:line="293"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competitive environment in which we operate, including the impact of legislative, regulatory or other developments on levels of competition in our industry and other factors affecting our market share;</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significant challenges we face in retaining and hiring qualified executives and other employees;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conservatorship, including any changes to or termination (by receivership or otherwise) of the conservatorship and its effect on our business;</w:t>
      </w:r>
    </w:p>
    <w:p>
      <w:pPr>
        <w:spacing w:after="0" w:line="86" w:lineRule="exact"/>
        <w:rPr>
          <w:rFonts w:ascii="Arial" w:cs="Arial" w:eastAsia="Arial" w:hAnsi="Arial"/>
          <w:sz w:val="16"/>
          <w:szCs w:val="16"/>
          <w:color w:val="auto"/>
        </w:rPr>
      </w:pPr>
    </w:p>
    <w:p>
      <w:pPr>
        <w:ind w:left="620" w:right="60" w:hanging="307"/>
        <w:spacing w:after="0" w:line="271"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investment by Treasury, including the impact of past or potential future changes to the terms of the senior preferred stock purchase agreement, and their effect on our business, including restrictions imposed on us by the terms of the senior preferred stock purchase agreement, the senior preferred stock, and the warrant, as well as the extent that these or other restrictions on our business and activities are applied to us through other mechanisms even if we cease to be subject to these agreements and instruments;</w:t>
      </w:r>
    </w:p>
    <w:p>
      <w:pPr>
        <w:spacing w:after="0" w:line="32" w:lineRule="exact"/>
        <w:rPr>
          <w:rFonts w:ascii="Arial" w:cs="Arial" w:eastAsia="Arial" w:hAnsi="Arial"/>
          <w:sz w:val="16"/>
          <w:szCs w:val="16"/>
          <w:color w:val="auto"/>
        </w:rPr>
      </w:pPr>
    </w:p>
    <w:p>
      <w:pPr>
        <w:ind w:left="620" w:right="100" w:hanging="307"/>
        <w:spacing w:after="0" w:line="293"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uncertainty regarding our future, our exit from conservatorship, our ability to raise or earn the capital needed to meet our capital requirements, and our ability to achieve long-term return targets;</w:t>
      </w:r>
    </w:p>
    <w:p>
      <w:pPr>
        <w:spacing w:after="0" w:line="14" w:lineRule="exact"/>
        <w:rPr>
          <w:rFonts w:ascii="Arial" w:cs="Arial" w:eastAsia="Arial" w:hAnsi="Arial"/>
          <w:sz w:val="16"/>
          <w:szCs w:val="16"/>
          <w:color w:val="auto"/>
        </w:rPr>
      </w:pPr>
    </w:p>
    <w:p>
      <w:pPr>
        <w:ind w:left="620" w:right="180" w:hanging="307"/>
        <w:spacing w:after="0" w:line="272"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impact of the enterprise regulatory capital framework, as well as future legislative and regulatory requirements or changes, governmental initiatives, or executive orders affecting us, such as the enactment of housing finance reform legislation, including changes that limit our business activities or our footprint, impose new mandates on us, or affect our ability to change our pricing;</w:t>
      </w:r>
    </w:p>
    <w:p>
      <w:pPr>
        <w:spacing w:after="0" w:line="44"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possibility that changes in leadership at FHFA or the Administration may result in changes that affect our company or our business;</w:t>
      </w:r>
    </w:p>
    <w:p>
      <w:pPr>
        <w:spacing w:after="0" w:line="86" w:lineRule="exact"/>
        <w:rPr>
          <w:rFonts w:ascii="Arial" w:cs="Arial" w:eastAsia="Arial" w:hAnsi="Arial"/>
          <w:sz w:val="16"/>
          <w:szCs w:val="16"/>
          <w:color w:val="auto"/>
        </w:rPr>
      </w:pPr>
    </w:p>
    <w:p>
      <w:pPr>
        <w:ind w:left="620" w:right="200" w:hanging="307"/>
        <w:spacing w:after="0" w:line="293"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actions we may be required to take by FHFA, in its role as our conservator or as our regulator, such as changes in the type of business we do, or actions relating to UMBS or our resecuritization of Freddie Mac-issued securities;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limitations on our business imposed by FHFA, in its role as our conservator or as our regulator;</w:t>
      </w:r>
    </w:p>
    <w:p>
      <w:pPr>
        <w:spacing w:after="0" w:line="86" w:lineRule="exact"/>
        <w:rPr>
          <w:rFonts w:ascii="Arial" w:cs="Arial" w:eastAsia="Arial" w:hAnsi="Arial"/>
          <w:sz w:val="16"/>
          <w:szCs w:val="16"/>
          <w:color w:val="auto"/>
        </w:rPr>
      </w:pPr>
    </w:p>
    <w:p>
      <w:pPr>
        <w:ind w:left="620" w:right="160" w:hanging="307"/>
        <w:spacing w:after="0" w:line="281"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adverse effects from activities we undertake to support the mortgage market and help borrowers, renters, lenders and servicers, including actions we may take to reach additional underserved borrowers or address barriers to sustainable housing opportunities and advance equity in housing finance;</w:t>
      </w:r>
    </w:p>
    <w:p>
      <w:pPr>
        <w:spacing w:after="0" w:line="24" w:lineRule="exact"/>
        <w:rPr>
          <w:rFonts w:ascii="Arial" w:cs="Arial" w:eastAsia="Arial" w:hAnsi="Arial"/>
          <w:sz w:val="16"/>
          <w:szCs w:val="16"/>
          <w:color w:val="auto"/>
        </w:rPr>
      </w:pPr>
    </w:p>
    <w:p>
      <w:pPr>
        <w:ind w:left="620" w:right="60" w:hanging="307"/>
        <w:spacing w:after="0" w:line="271"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reliance on Common Securitization Solutions, LLC (“CSS”), a limited liability company we own jointly with Freddie Mac, and the common securitization platform CSS operates for a majority of our single-family securitization activities; provisions in the CSS limited liability company agreement that permit FHFA to add members to the CSS Board of Managers, which may limit the ability of Fannie Mae and Freddie Mac to control decisions of the Board; and changes FHFA may require in our relationship with or in our support of CSS;</w:t>
      </w:r>
    </w:p>
    <w:p>
      <w:pPr>
        <w:spacing w:after="0" w:line="32" w:lineRule="exact"/>
        <w:rPr>
          <w:rFonts w:ascii="Arial" w:cs="Arial" w:eastAsia="Arial" w:hAnsi="Arial"/>
          <w:sz w:val="16"/>
          <w:szCs w:val="16"/>
          <w:color w:val="auto"/>
        </w:rPr>
      </w:pPr>
    </w:p>
    <w:p>
      <w:pPr>
        <w:ind w:left="620" w:right="60" w:hanging="307"/>
        <w:spacing w:after="0" w:line="272"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actions by FHFA, Treasury, the Federal Reserve, the Office of the Comptroller of the Currency (“OCC”), the Federal Deposit Insurance Corporation (“FDIC”), the Commodity Futures Trading Commission (“CFTC”), HUD, the Consumer Financial Protection Bureau (“CFPB”), the SEC or other regulators, Congress, the Executive Branch, or state or local governments that affect our business;</w:t>
      </w:r>
    </w:p>
    <w:p>
      <w:pPr>
        <w:spacing w:after="0" w:line="31"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changes in the structure and regulation of the financial services industry;</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default by the United States government on its obligations;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shutdown of the United States government;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potential impact of a change in the corporate income tax rate, which we expect would affect our net income in the quarter of enactment;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significant changes in forbearance, modification and foreclosure activity;</w:t>
      </w:r>
    </w:p>
    <w:p>
      <w:pPr>
        <w:spacing w:after="0" w:line="86" w:lineRule="exact"/>
        <w:rPr>
          <w:rFonts w:ascii="Arial" w:cs="Arial" w:eastAsia="Arial" w:hAnsi="Arial"/>
          <w:sz w:val="16"/>
          <w:szCs w:val="16"/>
          <w:color w:val="auto"/>
        </w:rPr>
      </w:pPr>
    </w:p>
    <w:p>
      <w:pPr>
        <w:ind w:left="620" w:right="300" w:hanging="307"/>
        <w:spacing w:after="0" w:line="293"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volume and pace of any future nonperforming and reperforming loan sales and their impact on our financial results and serious delinquency rates;</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changes in borrower behavior;</w:t>
      </w:r>
    </w:p>
    <w:p>
      <w:pPr>
        <w:spacing w:after="0" w:line="86" w:lineRule="exact"/>
        <w:rPr>
          <w:rFonts w:ascii="Arial" w:cs="Arial" w:eastAsia="Arial" w:hAnsi="Arial"/>
          <w:sz w:val="16"/>
          <w:szCs w:val="16"/>
          <w:color w:val="auto"/>
        </w:rPr>
      </w:pPr>
    </w:p>
    <w:p>
      <w:pPr>
        <w:ind w:left="620" w:right="280" w:hanging="307"/>
        <w:spacing w:after="0" w:line="293"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actions we may take to mitigate losses, and the effectiveness of our loss mitigation strategies, management of our REO inventory and pursuit of contractual remedies;</w:t>
      </w:r>
    </w:p>
    <w:p>
      <w:pPr>
        <w:spacing w:after="0" w:line="14" w:lineRule="exact"/>
        <w:rPr>
          <w:rFonts w:ascii="Arial" w:cs="Arial" w:eastAsia="Arial" w:hAnsi="Arial"/>
          <w:sz w:val="16"/>
          <w:szCs w:val="16"/>
          <w:color w:val="auto"/>
        </w:rPr>
      </w:pPr>
    </w:p>
    <w:p>
      <w:pPr>
        <w:ind w:left="620" w:right="720" w:hanging="307"/>
        <w:spacing w:after="0" w:line="293"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natural disasters, environmental disasters, terrorist attacks, widespread health emergencies or pandemics, infrastructure failures, or other disruptive or catastrophic events;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59</w:t>
            </w:r>
          </w:p>
        </w:tc>
      </w:tr>
      <w:tr>
        <w:trPr>
          <w:trHeight w:val="207"/>
        </w:trPr>
        <w:tc>
          <w:tcPr>
            <w:tcW w:w="69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2" w:name="page63"/>
    <w:bookmarkEnd w:id="62"/>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right="80" w:hanging="307"/>
        <w:spacing w:after="0" w:line="272" w:lineRule="auto"/>
        <w:tabs>
          <w:tab w:leader="none" w:pos="612" w:val="left"/>
        </w:tabs>
        <w:numPr>
          <w:ilvl w:val="0"/>
          <w:numId w:val="65"/>
        </w:numPr>
        <w:rPr>
          <w:rFonts w:ascii="Arial" w:cs="Arial" w:eastAsia="Arial" w:hAnsi="Arial"/>
          <w:sz w:val="16"/>
          <w:szCs w:val="16"/>
          <w:color w:val="auto"/>
        </w:rPr>
      </w:pPr>
      <w:r>
        <w:rPr>
          <w:rFonts w:ascii="Arial" w:cs="Arial" w:eastAsia="Arial" w:hAnsi="Arial"/>
          <w:sz w:val="16"/>
          <w:szCs w:val="16"/>
          <w:color w:val="auto"/>
        </w:rPr>
        <w:t>severe weather events, fires, floods or other climate change events or impacts, including those for which we may be uninsured or under-insured or that may affect our counterparties or the hazard insurers insuring properties underlying our guaranty book of business, and other risks resulting from climate change and efforts to address climate change and related risks;</w:t>
      </w:r>
    </w:p>
    <w:p>
      <w:pPr>
        <w:spacing w:after="0" w:line="44"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defaults by one or more of our counterparties or by the hazard insurers insuring properties underlying our guaranty book of business;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resolution or settlement agreements we may enter into with our counterparties;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need to rely on third parties to fully achieve some of our corporate objectives, including our reliance on mortgage servicers;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effectiveness of our risk management processes and related controls;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effectiveness of our business resiliency plans and systems;</w:t>
      </w:r>
    </w:p>
    <w:p>
      <w:pPr>
        <w:spacing w:after="0" w:line="99" w:lineRule="exact"/>
        <w:rPr>
          <w:rFonts w:ascii="Arial" w:cs="Arial" w:eastAsia="Arial" w:hAnsi="Arial"/>
          <w:sz w:val="16"/>
          <w:szCs w:val="16"/>
          <w:color w:val="auto"/>
        </w:rPr>
      </w:pPr>
    </w:p>
    <w:p>
      <w:pPr>
        <w:ind w:left="620" w:right="140" w:hanging="307"/>
        <w:spacing w:after="0" w:line="293" w:lineRule="auto"/>
        <w:tabs>
          <w:tab w:leader="none" w:pos="61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stability and adequacy of the systems and infrastructure that impact our operations, including ours and those of CSS, our other counterparties and other third parties;</w:t>
      </w:r>
    </w:p>
    <w:p>
      <w:pPr>
        <w:spacing w:after="0" w:line="14" w:lineRule="exact"/>
        <w:rPr>
          <w:rFonts w:ascii="Arial" w:cs="Arial" w:eastAsia="Arial" w:hAnsi="Arial"/>
          <w:sz w:val="16"/>
          <w:szCs w:val="16"/>
          <w:color w:val="auto"/>
        </w:rPr>
      </w:pPr>
    </w:p>
    <w:p>
      <w:pPr>
        <w:ind w:left="620" w:right="380" w:hanging="307"/>
        <w:spacing w:after="0" w:line="293" w:lineRule="auto"/>
        <w:tabs>
          <w:tab w:leader="none" w:pos="61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impact of interdependence between the single-family mortgage securitization programs of Fannie Mae and Freddie Mac in connection with UMBS;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operational control weaknesses;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reliance on models and future updates we make to our models, including the data and assumptions used by these models;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cyber attacks or other information security breaches or threats impacting us or the third parties with which we do business;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changes in GAAP, guidance by the Financial Accounting Standards Board (“FASB”) and changes to our accounting policies;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changes in the fair value of our assets and liabilities;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other factors described in “Risk Factors” in our 2023 Form 10-K.</w:t>
      </w:r>
    </w:p>
    <w:p>
      <w:pPr>
        <w:spacing w:after="0" w:line="8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Readers are cautioned not to unduly rely on the forward-looking statements we make and to place these forward-looking statements into proper context by carefully considering the factors identified above and those discussed in “Risk Factors” in our 2023 Form 10-K. These forward-looking statements are representative only as of the date they are made, and we undertake no obligation to update any forward-looking statement as a result of new information, future events or otherwise, except as required under the federal securities laws.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60</w:t>
            </w:r>
          </w:p>
        </w:tc>
      </w:tr>
      <w:tr>
        <w:trPr>
          <w:trHeight w:val="207"/>
        </w:trPr>
        <w:tc>
          <w:tcPr>
            <w:tcW w:w="69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4"/>
          <w:szCs w:val="14"/>
          <w:color w:val="05314D"/>
        </w:rPr>
        <w:t>Financial Statements |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 Financial Statements</w:t>
      </w:r>
    </w:p>
    <w:p>
      <w:pPr>
        <w:spacing w:after="0" w:line="110" w:lineRule="exact"/>
        <w:rPr>
          <w:sz w:val="20"/>
          <w:szCs w:val="20"/>
          <w:color w:val="auto"/>
        </w:rPr>
      </w:pPr>
    </w:p>
    <w:p>
      <w:pPr>
        <w:jc w:val="center"/>
        <w:ind w:right="-119"/>
        <w:spacing w:after="0"/>
        <w:rPr>
          <w:sz w:val="20"/>
          <w:szCs w:val="20"/>
          <w:color w:val="auto"/>
        </w:rPr>
      </w:pPr>
      <w:r>
        <w:rPr>
          <w:rFonts w:ascii="Georgia" w:cs="Georgia" w:eastAsia="Georgia" w:hAnsi="Georgia"/>
          <w:sz w:val="31"/>
          <w:szCs w:val="31"/>
          <w:b w:val="1"/>
          <w:bCs w:val="1"/>
          <w:color w:val="05314D"/>
        </w:rPr>
        <w:t>FANNIE MAE</w:t>
      </w:r>
    </w:p>
    <w:p>
      <w:pPr>
        <w:spacing w:after="0" w:line="47" w:lineRule="exact"/>
        <w:rPr>
          <w:sz w:val="20"/>
          <w:szCs w:val="20"/>
          <w:color w:val="auto"/>
        </w:rPr>
      </w:pPr>
    </w:p>
    <w:p>
      <w:pPr>
        <w:jc w:val="center"/>
        <w:ind w:right="-119"/>
        <w:spacing w:after="0"/>
        <w:rPr>
          <w:sz w:val="20"/>
          <w:szCs w:val="20"/>
          <w:color w:val="auto"/>
        </w:rPr>
      </w:pPr>
      <w:r>
        <w:rPr>
          <w:rFonts w:ascii="Georgia" w:cs="Georgia" w:eastAsia="Georgia" w:hAnsi="Georgia"/>
          <w:sz w:val="17"/>
          <w:szCs w:val="17"/>
          <w:b w:val="1"/>
          <w:bCs w:val="1"/>
          <w:color w:val="05314D"/>
        </w:rPr>
        <w:t>(In conservatorship)</w:t>
      </w:r>
    </w:p>
    <w:p>
      <w:pPr>
        <w:spacing w:after="0" w:line="73" w:lineRule="exact"/>
        <w:rPr>
          <w:sz w:val="20"/>
          <w:szCs w:val="20"/>
          <w:color w:val="auto"/>
        </w:rPr>
      </w:pPr>
    </w:p>
    <w:p>
      <w:pPr>
        <w:jc w:val="center"/>
        <w:ind w:right="-119"/>
        <w:spacing w:after="0"/>
        <w:rPr>
          <w:sz w:val="20"/>
          <w:szCs w:val="20"/>
          <w:color w:val="auto"/>
        </w:rPr>
      </w:pPr>
      <w:r>
        <w:rPr>
          <w:rFonts w:ascii="Georgia" w:cs="Georgia" w:eastAsia="Georgia" w:hAnsi="Georgia"/>
          <w:sz w:val="27"/>
          <w:szCs w:val="27"/>
          <w:b w:val="1"/>
          <w:bCs w:val="1"/>
          <w:color w:val="05314D"/>
        </w:rPr>
        <w:t>Condensed Consolidated Balance Sheets — (Unaudited)</w:t>
      </w:r>
    </w:p>
    <w:p>
      <w:pPr>
        <w:spacing w:after="0" w:line="33" w:lineRule="exact"/>
        <w:rPr>
          <w:sz w:val="20"/>
          <w:szCs w:val="20"/>
          <w:color w:val="auto"/>
        </w:rPr>
      </w:pPr>
    </w:p>
    <w:p>
      <w:pPr>
        <w:jc w:val="center"/>
        <w:ind w:right="-119"/>
        <w:spacing w:after="0"/>
        <w:rPr>
          <w:sz w:val="20"/>
          <w:szCs w:val="20"/>
          <w:color w:val="auto"/>
        </w:rPr>
      </w:pPr>
      <w:r>
        <w:rPr>
          <w:rFonts w:ascii="Georgia" w:cs="Georgia" w:eastAsia="Georgia" w:hAnsi="Georgia"/>
          <w:sz w:val="17"/>
          <w:szCs w:val="17"/>
          <w:b w:val="1"/>
          <w:bCs w:val="1"/>
          <w:color w:val="05314D"/>
        </w:rPr>
        <w:t>(Dollars in millions)</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7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gridSpan w:val="4"/>
          </w:tcPr>
          <w:p>
            <w:pPr>
              <w:jc w:val="right"/>
              <w:ind w:right="131"/>
              <w:spacing w:after="0"/>
              <w:rPr>
                <w:sz w:val="20"/>
                <w:szCs w:val="20"/>
                <w:color w:val="auto"/>
              </w:rPr>
            </w:pPr>
            <w:r>
              <w:rPr>
                <w:rFonts w:ascii="Arial" w:cs="Arial" w:eastAsia="Arial" w:hAnsi="Arial"/>
                <w:sz w:val="14"/>
                <w:szCs w:val="14"/>
                <w:b w:val="1"/>
                <w:bCs w:val="1"/>
                <w:color w:val="auto"/>
                <w:w w:val="91"/>
              </w:rPr>
              <w:t>As of</w:t>
            </w:r>
          </w:p>
        </w:tc>
        <w:tc>
          <w:tcPr>
            <w:tcW w:w="8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7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040" w:type="dxa"/>
            <w:vAlign w:val="bottom"/>
            <w:tcBorders>
              <w:bottom w:val="single" w:sz="8" w:color="2C6937"/>
            </w:tcBorders>
            <w:gridSpan w:val="2"/>
          </w:tcPr>
          <w:p>
            <w:pPr>
              <w:jc w:val="right"/>
              <w:ind w:right="11"/>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bottom w:val="single" w:sz="8" w:color="2C6937"/>
            </w:tcBorders>
            <w:gridSpan w:val="4"/>
          </w:tcPr>
          <w:p>
            <w:pPr>
              <w:ind w:left="20"/>
              <w:spacing w:after="0"/>
              <w:rPr>
                <w:sz w:val="20"/>
                <w:szCs w:val="20"/>
                <w:color w:val="auto"/>
              </w:rPr>
            </w:pPr>
            <w:r>
              <w:rPr>
                <w:rFonts w:ascii="Arial" w:cs="Arial" w:eastAsia="Arial" w:hAnsi="Arial"/>
                <w:sz w:val="14"/>
                <w:szCs w:val="14"/>
                <w:b w:val="1"/>
                <w:bCs w:val="1"/>
                <w:color w:val="auto"/>
                <w:w w:val="98"/>
              </w:rPr>
              <w:t>December 31, 2023</w:t>
            </w:r>
          </w:p>
        </w:tc>
        <w:tc>
          <w:tcPr>
            <w:tcW w:w="0" w:type="dxa"/>
            <w:vAlign w:val="bottom"/>
          </w:tcPr>
          <w:p>
            <w:pPr>
              <w:spacing w:after="0"/>
              <w:rPr>
                <w:sz w:val="1"/>
                <w:szCs w:val="1"/>
                <w:color w:val="auto"/>
              </w:rPr>
            </w:pPr>
          </w:p>
        </w:tc>
      </w:tr>
      <w:tr>
        <w:trPr>
          <w:trHeight w:val="173"/>
        </w:trPr>
        <w:tc>
          <w:tcPr>
            <w:tcW w:w="7880" w:type="dxa"/>
            <w:vAlign w:val="bottom"/>
            <w:gridSpan w:val="2"/>
          </w:tcPr>
          <w:p>
            <w:pPr>
              <w:ind w:left="362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5"/>
                <w:szCs w:val="15"/>
                <w:color w:val="auto"/>
              </w:rPr>
            </w:pPr>
          </w:p>
        </w:tc>
        <w:tc>
          <w:tcPr>
            <w:tcW w:w="2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41,911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40" w:type="dxa"/>
            <w:vAlign w:val="bottom"/>
            <w:gridSpan w:val="4"/>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35,817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Restricted cash and cash equivalents (includes $29,789 and $25,836, respectively, related to consolidated trusts)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36,402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Securities purchased under agreements to resell</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27,650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Investments in securities, at fair value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49,899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53,116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Mortgage loans: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Loans held for sale, at lower of cost or fair value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Loans held for investment, at amortized cost:</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80" w:type="dxa"/>
            <w:vAlign w:val="bottom"/>
            <w:gridSpan w:val="3"/>
          </w:tcPr>
          <w:p>
            <w:pPr>
              <w:ind w:left="340"/>
              <w:spacing w:after="0"/>
              <w:rPr>
                <w:sz w:val="20"/>
                <w:szCs w:val="20"/>
                <w:color w:val="auto"/>
              </w:rPr>
            </w:pPr>
            <w:r>
              <w:rPr>
                <w:rFonts w:ascii="Arial" w:cs="Arial" w:eastAsia="Arial" w:hAnsi="Arial"/>
                <w:sz w:val="14"/>
                <w:szCs w:val="14"/>
                <w:color w:val="auto"/>
              </w:rPr>
              <w:t>Of Fannie Mae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49,196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48,199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800" w:type="dxa"/>
            <w:vAlign w:val="bottom"/>
            <w:tcBorders>
              <w:bottom w:val="single" w:sz="8" w:color="2C6937"/>
            </w:tcBorders>
          </w:tcPr>
          <w:p>
            <w:pPr>
              <w:ind w:left="340"/>
              <w:spacing w:after="0"/>
              <w:rPr>
                <w:sz w:val="20"/>
                <w:szCs w:val="20"/>
                <w:color w:val="auto"/>
              </w:rPr>
            </w:pPr>
            <w:r>
              <w:rPr>
                <w:rFonts w:ascii="Arial" w:cs="Arial" w:eastAsia="Arial" w:hAnsi="Arial"/>
                <w:sz w:val="14"/>
                <w:szCs w:val="14"/>
                <w:color w:val="auto"/>
              </w:rPr>
              <w:t>Of consolidated trusts</w:t>
            </w:r>
          </w:p>
        </w:tc>
        <w:tc>
          <w:tcPr>
            <w:tcW w:w="180" w:type="dxa"/>
            <w:vAlign w:val="bottom"/>
            <w:gridSpan w:val="2"/>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4,087,398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4,094,013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80" w:type="dxa"/>
            <w:vAlign w:val="bottom"/>
            <w:gridSpan w:val="3"/>
          </w:tcPr>
          <w:p>
            <w:pPr>
              <w:ind w:left="320"/>
              <w:spacing w:after="0"/>
              <w:rPr>
                <w:sz w:val="20"/>
                <w:szCs w:val="20"/>
                <w:color w:val="auto"/>
              </w:rPr>
            </w:pPr>
            <w:r>
              <w:rPr>
                <w:rFonts w:ascii="Arial" w:cs="Arial" w:eastAsia="Arial" w:hAnsi="Arial"/>
                <w:sz w:val="14"/>
                <w:szCs w:val="14"/>
                <w:color w:val="auto"/>
              </w:rPr>
              <w:t>Total loans held for investment (includes $3,194 and $3,315, respectively, at fair value)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4,136,594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4,142,212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800" w:type="dxa"/>
            <w:vAlign w:val="bottom"/>
            <w:tcBorders>
              <w:bottom w:val="single" w:sz="8" w:color="2C6937"/>
            </w:tcBorders>
          </w:tcPr>
          <w:p>
            <w:pPr>
              <w:ind w:left="340"/>
              <w:spacing w:after="0"/>
              <w:rPr>
                <w:sz w:val="20"/>
                <w:szCs w:val="20"/>
                <w:color w:val="auto"/>
              </w:rPr>
            </w:pPr>
            <w:r>
              <w:rPr>
                <w:rFonts w:ascii="Arial" w:cs="Arial" w:eastAsia="Arial" w:hAnsi="Arial"/>
                <w:sz w:val="14"/>
                <w:szCs w:val="14"/>
                <w:color w:val="auto"/>
              </w:rPr>
              <w:t>Allowance for loan losses</w:t>
            </w:r>
          </w:p>
        </w:tc>
        <w:tc>
          <w:tcPr>
            <w:tcW w:w="180" w:type="dxa"/>
            <w:vAlign w:val="bottom"/>
            <w:gridSpan w:val="2"/>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(8,026)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(8,730)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0" w:type="dxa"/>
            <w:vAlign w:val="bottom"/>
            <w:tcBorders>
              <w:bottom w:val="single" w:sz="8" w:color="2C6937"/>
            </w:tcBorders>
          </w:tcPr>
          <w:p>
            <w:pPr>
              <w:ind w:left="480"/>
              <w:spacing w:after="0"/>
              <w:rPr>
                <w:sz w:val="20"/>
                <w:szCs w:val="20"/>
                <w:color w:val="auto"/>
              </w:rPr>
            </w:pPr>
            <w:r>
              <w:rPr>
                <w:rFonts w:ascii="Arial" w:cs="Arial" w:eastAsia="Arial" w:hAnsi="Arial"/>
                <w:sz w:val="14"/>
                <w:szCs w:val="14"/>
                <w:color w:val="auto"/>
              </w:rPr>
              <w:t>Total loans held for investment, net of allowance</w:t>
            </w:r>
          </w:p>
        </w:tc>
        <w:tc>
          <w:tcPr>
            <w:tcW w:w="180" w:type="dxa"/>
            <w:vAlign w:val="bottom"/>
            <w:gridSpan w:val="2"/>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4,128,568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4,133,482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80" w:type="dxa"/>
            <w:vAlign w:val="bottom"/>
            <w:gridSpan w:val="3"/>
          </w:tcPr>
          <w:p>
            <w:pPr>
              <w:ind w:left="640"/>
              <w:spacing w:after="0"/>
              <w:rPr>
                <w:sz w:val="20"/>
                <w:szCs w:val="20"/>
                <w:color w:val="auto"/>
              </w:rPr>
            </w:pPr>
            <w:r>
              <w:rPr>
                <w:rFonts w:ascii="Arial" w:cs="Arial" w:eastAsia="Arial" w:hAnsi="Arial"/>
                <w:sz w:val="14"/>
                <w:szCs w:val="14"/>
                <w:color w:val="auto"/>
              </w:rPr>
              <w:t>Total mortgage loans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4,129,214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4,135,631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Advances to lenders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1,856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Deferred tax assets, net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11,036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11,681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Accrued interest receivable, net (includes $10,654 and $10,132 related to consolidated trusts)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11,156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8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gridSpan w:val="2"/>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14,769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13,490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Total assets</w:t>
            </w:r>
          </w:p>
        </w:tc>
        <w:tc>
          <w:tcPr>
            <w:tcW w:w="180" w:type="dxa"/>
            <w:vAlign w:val="bottom"/>
            <w:gridSpan w:val="2"/>
          </w:tcPr>
          <w:p>
            <w:pPr>
              <w:spacing w:after="0"/>
              <w:rPr>
                <w:sz w:val="16"/>
                <w:szCs w:val="16"/>
                <w:color w:val="auto"/>
              </w:rPr>
            </w:pPr>
          </w:p>
        </w:tc>
        <w:tc>
          <w:tcPr>
            <w:tcW w:w="240" w:type="dxa"/>
            <w:vAlign w:val="bottom"/>
            <w:tcBorders>
              <w:bottom w:val="single" w:sz="8" w:color="2C6937"/>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4,323,893</w:t>
            </w:r>
          </w:p>
        </w:tc>
        <w:tc>
          <w:tcPr>
            <w:tcW w:w="300" w:type="dxa"/>
            <w:vAlign w:val="bottom"/>
            <w:gridSpan w:val="3"/>
          </w:tcPr>
          <w:p>
            <w:pPr>
              <w:spacing w:after="0"/>
              <w:rPr>
                <w:sz w:val="16"/>
                <w:szCs w:val="16"/>
                <w:color w:val="auto"/>
              </w:rPr>
            </w:pPr>
          </w:p>
        </w:tc>
        <w:tc>
          <w:tcPr>
            <w:tcW w:w="240" w:type="dxa"/>
            <w:vAlign w:val="bottom"/>
            <w:tcBorders>
              <w:bottom w:val="single" w:sz="8" w:color="2C6937"/>
            </w:tcBorders>
          </w:tcPr>
          <w:p>
            <w:pPr>
              <w:jc w:val="right"/>
              <w:ind w:right="9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4,325,437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80" w:type="dxa"/>
            <w:vAlign w:val="bottom"/>
            <w:gridSpan w:val="3"/>
          </w:tcPr>
          <w:p>
            <w:pPr>
              <w:ind w:left="306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Accrued interest payable (includes $10,524 and $10,212, respectively, related to consolidated trusts)</w:t>
            </w:r>
          </w:p>
        </w:tc>
        <w:tc>
          <w:tcPr>
            <w:tcW w:w="240" w:type="dxa"/>
            <w:vAlign w:val="bottom"/>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11,176</w:t>
            </w:r>
          </w:p>
        </w:tc>
        <w:tc>
          <w:tcPr>
            <w:tcW w:w="540" w:type="dxa"/>
            <w:vAlign w:val="bottom"/>
            <w:gridSpan w:val="4"/>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10,931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Debt:</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80" w:type="dxa"/>
            <w:vAlign w:val="bottom"/>
            <w:gridSpan w:val="3"/>
          </w:tcPr>
          <w:p>
            <w:pPr>
              <w:ind w:left="340"/>
              <w:spacing w:after="0"/>
              <w:rPr>
                <w:sz w:val="20"/>
                <w:szCs w:val="20"/>
                <w:color w:val="auto"/>
              </w:rPr>
            </w:pPr>
            <w:r>
              <w:rPr>
                <w:rFonts w:ascii="Arial" w:cs="Arial" w:eastAsia="Arial" w:hAnsi="Arial"/>
                <w:sz w:val="14"/>
                <w:szCs w:val="14"/>
                <w:color w:val="auto"/>
              </w:rPr>
              <w:t>Of Fannie Mae (includes $544 and $761, respectively, at fair value)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118,543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124,065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80" w:type="dxa"/>
            <w:vAlign w:val="bottom"/>
            <w:gridSpan w:val="3"/>
          </w:tcPr>
          <w:p>
            <w:pPr>
              <w:ind w:left="340"/>
              <w:spacing w:after="0"/>
              <w:rPr>
                <w:sz w:val="20"/>
                <w:szCs w:val="20"/>
                <w:color w:val="auto"/>
              </w:rPr>
            </w:pPr>
            <w:r>
              <w:rPr>
                <w:rFonts w:ascii="Arial" w:cs="Arial" w:eastAsia="Arial" w:hAnsi="Arial"/>
                <w:sz w:val="14"/>
                <w:szCs w:val="14"/>
                <w:color w:val="auto"/>
              </w:rPr>
              <w:t>Of consolidated trusts (includes $13,239 and $14,343, respectively, at fair value)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4,094,421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4,098,653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8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liabilities (includes $1,673 and $1,713, respectively, related to consolidated trusts)</w:t>
            </w:r>
          </w:p>
        </w:tc>
        <w:tc>
          <w:tcPr>
            <w:tcW w:w="180" w:type="dxa"/>
            <w:vAlign w:val="bottom"/>
            <w:gridSpan w:val="2"/>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13,270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14,106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Total liabilities</w:t>
            </w:r>
          </w:p>
        </w:tc>
        <w:tc>
          <w:tcPr>
            <w:tcW w:w="180" w:type="dxa"/>
            <w:vAlign w:val="bottom"/>
            <w:gridSpan w:val="2"/>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4,237,410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4,247,755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Commitments and contingencies (Note 14)</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Fannie Mae stockholders’ equity:</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Senior preferred stock (liquidation preference of $203,505 and $195,224, respectively)</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120,836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120,836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Preferred stock, 700,000,000 shares are authorized—555,374,922 shares issued and outstanding</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19,130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19,130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Common stock, no par value, no maximum authorization—1,308,762,703 shares issued and 1,158,087,567 shares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80" w:type="dxa"/>
            <w:vAlign w:val="bottom"/>
            <w:gridSpan w:val="3"/>
          </w:tcPr>
          <w:p>
            <w:pPr>
              <w:ind w:left="340"/>
              <w:spacing w:after="0"/>
              <w:rPr>
                <w:sz w:val="20"/>
                <w:szCs w:val="20"/>
                <w:color w:val="auto"/>
              </w:rPr>
            </w:pPr>
            <w:r>
              <w:rPr>
                <w:rFonts w:ascii="Arial" w:cs="Arial" w:eastAsia="Arial" w:hAnsi="Arial"/>
                <w:sz w:val="14"/>
                <w:szCs w:val="14"/>
                <w:color w:val="auto"/>
              </w:rPr>
              <w:t>outstanding</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Accumulated deficit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(46,799)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(55,603)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Accumulated other comprehensive income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8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Treasury stock, at cost, 150,675,136 shares</w:t>
            </w:r>
          </w:p>
        </w:tc>
        <w:tc>
          <w:tcPr>
            <w:tcW w:w="180" w:type="dxa"/>
            <w:vAlign w:val="bottom"/>
            <w:gridSpan w:val="2"/>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(7,400)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(7,400)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8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stockholders’ equity</w:t>
            </w:r>
          </w:p>
        </w:tc>
        <w:tc>
          <w:tcPr>
            <w:tcW w:w="180" w:type="dxa"/>
            <w:vAlign w:val="bottom"/>
            <w:gridSpan w:val="2"/>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86,483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77,682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Total liabilities and equity</w:t>
            </w:r>
          </w:p>
        </w:tc>
        <w:tc>
          <w:tcPr>
            <w:tcW w:w="240" w:type="dxa"/>
            <w:vAlign w:val="bottom"/>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4,323,893</w:t>
            </w:r>
          </w:p>
        </w:tc>
        <w:tc>
          <w:tcPr>
            <w:tcW w:w="540" w:type="dxa"/>
            <w:vAlign w:val="bottom"/>
            <w:gridSpan w:val="4"/>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4,325,437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396240</wp:posOffset>
            </wp:positionV>
            <wp:extent cx="68059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248" w:right="459" w:bottom="1440" w:gutter="0" w:footer="0" w:header="0"/>
        </w:sectPr>
      </w:pPr>
    </w:p>
    <w:bookmarkStart w:id="64" w:name="page65"/>
    <w:bookmarkEnd w:id="64"/>
    <w:p>
      <w:pPr>
        <w:ind w:left="4820"/>
        <w:spacing w:after="0"/>
        <w:rPr>
          <w:sz w:val="20"/>
          <w:szCs w:val="20"/>
          <w:color w:val="auto"/>
        </w:rPr>
      </w:pPr>
      <w:r>
        <w:rPr>
          <w:rFonts w:ascii="Arial" w:cs="Arial" w:eastAsia="Arial" w:hAnsi="Arial"/>
          <w:sz w:val="14"/>
          <w:szCs w:val="14"/>
          <w:color w:val="05314D"/>
        </w:rPr>
        <w:t>Financial Statements |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17145</wp:posOffset>
            </wp:positionV>
            <wp:extent cx="70154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20"/>
        <w:spacing w:after="0"/>
        <w:rPr>
          <w:sz w:val="20"/>
          <w:szCs w:val="20"/>
          <w:color w:val="auto"/>
        </w:rPr>
      </w:pPr>
      <w:r>
        <w:rPr>
          <w:rFonts w:ascii="Georgia" w:cs="Georgia" w:eastAsia="Georgia" w:hAnsi="Georgia"/>
          <w:sz w:val="31"/>
          <w:szCs w:val="31"/>
          <w:b w:val="1"/>
          <w:bCs w:val="1"/>
          <w:color w:val="05314D"/>
        </w:rPr>
        <w:t>FANNIE MAE</w:t>
      </w:r>
    </w:p>
    <w:p>
      <w:pPr>
        <w:spacing w:after="0" w:line="47" w:lineRule="exact"/>
        <w:rPr>
          <w:sz w:val="20"/>
          <w:szCs w:val="20"/>
          <w:color w:val="auto"/>
        </w:rPr>
      </w:pPr>
    </w:p>
    <w:p>
      <w:pPr>
        <w:jc w:val="center"/>
        <w:ind w:right="120"/>
        <w:spacing w:after="0"/>
        <w:rPr>
          <w:sz w:val="20"/>
          <w:szCs w:val="20"/>
          <w:color w:val="auto"/>
        </w:rPr>
      </w:pPr>
      <w:r>
        <w:rPr>
          <w:rFonts w:ascii="Georgia" w:cs="Georgia" w:eastAsia="Georgia" w:hAnsi="Georgia"/>
          <w:sz w:val="17"/>
          <w:szCs w:val="17"/>
          <w:b w:val="1"/>
          <w:bCs w:val="1"/>
          <w:color w:val="001543"/>
        </w:rPr>
        <w:t>(In conservatorship)</w:t>
      </w:r>
    </w:p>
    <w:p>
      <w:pPr>
        <w:spacing w:after="0" w:line="73" w:lineRule="exact"/>
        <w:rPr>
          <w:sz w:val="20"/>
          <w:szCs w:val="20"/>
          <w:color w:val="auto"/>
        </w:rPr>
      </w:pPr>
    </w:p>
    <w:p>
      <w:pPr>
        <w:jc w:val="center"/>
        <w:ind w:right="120"/>
        <w:spacing w:after="0" w:line="254" w:lineRule="auto"/>
        <w:rPr>
          <w:sz w:val="20"/>
          <w:szCs w:val="20"/>
          <w:color w:val="auto"/>
        </w:rPr>
      </w:pPr>
      <w:r>
        <w:rPr>
          <w:rFonts w:ascii="Georgia" w:cs="Georgia" w:eastAsia="Georgia" w:hAnsi="Georgia"/>
          <w:sz w:val="27"/>
          <w:szCs w:val="27"/>
          <w:b w:val="1"/>
          <w:bCs w:val="1"/>
          <w:color w:val="05314D"/>
        </w:rPr>
        <w:t>Condensed Consolidated Statements of Operations and Comprehensive Income — (Unaudited)</w:t>
      </w:r>
    </w:p>
    <w:p>
      <w:pPr>
        <w:spacing w:after="0" w:line="25" w:lineRule="exact"/>
        <w:rPr>
          <w:sz w:val="20"/>
          <w:szCs w:val="20"/>
          <w:color w:val="auto"/>
        </w:rPr>
      </w:pPr>
    </w:p>
    <w:p>
      <w:pPr>
        <w:jc w:val="center"/>
        <w:ind w:right="120"/>
        <w:spacing w:after="0"/>
        <w:rPr>
          <w:sz w:val="20"/>
          <w:szCs w:val="20"/>
          <w:color w:val="auto"/>
        </w:rPr>
      </w:pPr>
      <w:r>
        <w:rPr>
          <w:rFonts w:ascii="Georgia" w:cs="Georgia" w:eastAsia="Georgia" w:hAnsi="Georgia"/>
          <w:sz w:val="17"/>
          <w:szCs w:val="17"/>
          <w:b w:val="1"/>
          <w:bCs w:val="1"/>
          <w:color w:val="001543"/>
        </w:rPr>
        <w:t>(Dollars and shares in millions, except per share amounts)</w:t>
      </w:r>
    </w:p>
    <w:p>
      <w:pPr>
        <w:spacing w:after="0" w:line="116"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132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w w:val="96"/>
              </w:rPr>
              <w:t>For the Six Months</w:t>
            </w:r>
          </w:p>
        </w:tc>
        <w:tc>
          <w:tcPr>
            <w:tcW w:w="0" w:type="dxa"/>
            <w:vAlign w:val="bottom"/>
          </w:tcPr>
          <w:p>
            <w:pPr>
              <w:spacing w:after="0"/>
              <w:rPr>
                <w:sz w:val="1"/>
                <w:szCs w:val="1"/>
                <w:color w:val="auto"/>
              </w:rPr>
            </w:pPr>
          </w:p>
        </w:tc>
      </w:tr>
      <w:tr>
        <w:trPr>
          <w:trHeight w:val="177"/>
        </w:trPr>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08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gridSpan w:val="3"/>
          </w:tcPr>
          <w:p>
            <w:pPr>
              <w:jc w:val="right"/>
              <w:ind w:right="13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5"/>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67"/>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1,836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240" w:type="dxa"/>
            <w:vAlign w:val="bottom"/>
            <w:gridSpan w:val="2"/>
          </w:tcPr>
          <w:p>
            <w:pPr>
              <w:ind w:left="180"/>
              <w:spacing w:after="0"/>
              <w:rPr>
                <w:sz w:val="20"/>
                <w:szCs w:val="20"/>
                <w:color w:val="auto"/>
              </w:rPr>
            </w:pPr>
            <w:r>
              <w:rPr>
                <w:rFonts w:ascii="Arial" w:cs="Arial" w:eastAsia="Arial" w:hAnsi="Arial"/>
                <w:sz w:val="14"/>
                <w:szCs w:val="14"/>
                <w:color w:val="auto"/>
              </w:rPr>
              <w:t>Investments in securities</w:t>
            </w: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7240" w:type="dxa"/>
            <w:vAlign w:val="bottom"/>
            <w:gridSpan w:val="2"/>
          </w:tcPr>
          <w:p>
            <w:pPr>
              <w:ind w:left="180"/>
              <w:spacing w:after="0"/>
              <w:rPr>
                <w:sz w:val="20"/>
                <w:szCs w:val="20"/>
                <w:color w:val="auto"/>
              </w:rPr>
            </w:pPr>
            <w:r>
              <w:rPr>
                <w:rFonts w:ascii="Arial" w:cs="Arial" w:eastAsia="Arial" w:hAnsi="Arial"/>
                <w:sz w:val="14"/>
                <w:szCs w:val="14"/>
                <w:color w:val="auto"/>
              </w:rPr>
              <w:t>Mortgage loans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35,617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32,655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70,833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743</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1,404</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income</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37,275</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34,340</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74,073</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240" w:type="dxa"/>
            <w:vAlign w:val="bottom"/>
            <w:gridSpan w:val="2"/>
          </w:tcPr>
          <w:p>
            <w:pPr>
              <w:ind w:left="180"/>
              <w:spacing w:after="0"/>
              <w:rPr>
                <w:sz w:val="20"/>
                <w:szCs w:val="20"/>
                <w:color w:val="auto"/>
              </w:rPr>
            </w:pPr>
            <w:r>
              <w:rPr>
                <w:rFonts w:ascii="Arial" w:cs="Arial" w:eastAsia="Arial" w:hAnsi="Arial"/>
                <w:sz w:val="14"/>
                <w:szCs w:val="14"/>
                <w:color w:val="auto"/>
              </w:rPr>
              <w:t>Short-term debt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(325)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1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(29,877)</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(27,122)</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(59,457)</w:t>
            </w:r>
          </w:p>
        </w:tc>
        <w:tc>
          <w:tcPr>
            <w:tcW w:w="100" w:type="dxa"/>
            <w:vAlign w:val="bottom"/>
          </w:tcPr>
          <w:p>
            <w:pPr>
              <w:spacing w:after="0"/>
              <w:rPr>
                <w:sz w:val="16"/>
                <w:szCs w:val="16"/>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1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expense</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(30,007)</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(27,305)</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(59,782)</w:t>
            </w:r>
          </w:p>
        </w:tc>
        <w:tc>
          <w:tcPr>
            <w:tcW w:w="100" w:type="dxa"/>
            <w:vAlign w:val="bottom"/>
          </w:tcPr>
          <w:p>
            <w:pPr>
              <w:spacing w:after="0"/>
              <w:rPr>
                <w:sz w:val="16"/>
                <w:szCs w:val="16"/>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Net interest income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7,268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14,291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Benefit (provision) for credit losses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300</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1,266</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480</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Net interest income after benefit (provision) for credit losses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7,568</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8,301</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14,771</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Investment gains (losses), net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Fair value gains (losses), net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927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40" w:type="dxa"/>
            <w:vAlign w:val="bottom"/>
            <w:tcBorders>
              <w:bottom w:val="single" w:sz="8" w:color="2C6937"/>
            </w:tcBorders>
          </w:tcPr>
          <w:p>
            <w:pPr>
              <w:ind w:left="40"/>
              <w:spacing w:after="0"/>
              <w:rPr>
                <w:sz w:val="20"/>
                <w:szCs w:val="20"/>
                <w:color w:val="auto"/>
              </w:rPr>
            </w:pPr>
            <w:r>
              <w:rPr>
                <w:rFonts w:ascii="Arial" w:cs="Arial" w:eastAsia="Arial" w:hAnsi="Arial"/>
                <w:sz w:val="14"/>
                <w:szCs w:val="14"/>
                <w:color w:val="auto"/>
              </w:rPr>
              <w:t>Fee and other income</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140</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Non-interest income</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453</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1,027</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Administrative expenses: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240" w:type="dxa"/>
            <w:vAlign w:val="bottom"/>
            <w:gridSpan w:val="2"/>
          </w:tcPr>
          <w:p>
            <w:pPr>
              <w:ind w:left="180"/>
              <w:spacing w:after="0"/>
              <w:rPr>
                <w:sz w:val="20"/>
                <w:szCs w:val="20"/>
                <w:color w:val="auto"/>
              </w:rPr>
            </w:pPr>
            <w:r>
              <w:rPr>
                <w:rFonts w:ascii="Arial" w:cs="Arial" w:eastAsia="Arial" w:hAnsi="Arial"/>
                <w:sz w:val="14"/>
                <w:szCs w:val="14"/>
                <w:color w:val="auto"/>
              </w:rPr>
              <w:t>Salaries and employee benefits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(1,007)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240" w:type="dxa"/>
            <w:vAlign w:val="bottom"/>
            <w:gridSpan w:val="2"/>
          </w:tcPr>
          <w:p>
            <w:pPr>
              <w:ind w:left="180"/>
              <w:spacing w:after="0"/>
              <w:rPr>
                <w:sz w:val="20"/>
                <w:szCs w:val="20"/>
                <w:color w:val="auto"/>
              </w:rPr>
            </w:pPr>
            <w:r>
              <w:rPr>
                <w:rFonts w:ascii="Arial" w:cs="Arial" w:eastAsia="Arial" w:hAnsi="Arial"/>
                <w:sz w:val="14"/>
                <w:szCs w:val="14"/>
                <w:color w:val="auto"/>
              </w:rPr>
              <w:t>Professional services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administrative expenses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(225)</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(442)</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administrative expenses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(939)</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(1,868)</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TCCA fees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(859)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(1,719)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Credit enhancement expense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Change in expected credit enhancement recoveries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expenses, net</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(251)</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(450)</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expenses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(2,417)</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(2,521)</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(4,761)</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Income before federal income taxes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5,604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11,037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Provision for federal income taxes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(1,120)</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(1,285)</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(2,233)</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4,484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8,804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6"/>
                <w:szCs w:val="16"/>
                <w:color w:val="auto"/>
              </w:rPr>
            </w:pPr>
          </w:p>
        </w:tc>
        <w:tc>
          <w:tcPr>
            <w:tcW w:w="20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4,477</w:t>
            </w:r>
          </w:p>
        </w:tc>
        <w:tc>
          <w:tcPr>
            <w:tcW w:w="100" w:type="dxa"/>
            <w:vAlign w:val="bottom"/>
          </w:tcPr>
          <w:p>
            <w:pPr>
              <w:spacing w:after="0"/>
              <w:rPr>
                <w:sz w:val="16"/>
                <w:szCs w:val="16"/>
                <w:color w:val="auto"/>
              </w:rPr>
            </w:pPr>
          </w:p>
        </w:tc>
        <w:tc>
          <w:tcPr>
            <w:tcW w:w="260" w:type="dxa"/>
            <w:vAlign w:val="bottom"/>
            <w:tcBorders>
              <w:bottom w:val="single" w:sz="8" w:color="2C6937"/>
            </w:tcBorders>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4,995</w:t>
            </w:r>
          </w:p>
        </w:tc>
        <w:tc>
          <w:tcPr>
            <w:tcW w:w="100" w:type="dxa"/>
            <w:vAlign w:val="bottom"/>
          </w:tcPr>
          <w:p>
            <w:pPr>
              <w:spacing w:after="0"/>
              <w:rPr>
                <w:sz w:val="16"/>
                <w:szCs w:val="16"/>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8,801</w:t>
            </w:r>
          </w:p>
        </w:tc>
        <w:tc>
          <w:tcPr>
            <w:tcW w:w="100" w:type="dxa"/>
            <w:vAlign w:val="bottom"/>
          </w:tcPr>
          <w:p>
            <w:pPr>
              <w:spacing w:after="0"/>
              <w:rPr>
                <w:sz w:val="16"/>
                <w:szCs w:val="16"/>
                <w:color w:val="auto"/>
              </w:rPr>
            </w:pPr>
          </w:p>
        </w:tc>
        <w:tc>
          <w:tcPr>
            <w:tcW w:w="42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4,484</w:t>
            </w:r>
          </w:p>
        </w:tc>
        <w:tc>
          <w:tcPr>
            <w:tcW w:w="10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4,994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8,804</w:t>
            </w:r>
          </w:p>
        </w:tc>
        <w:tc>
          <w:tcPr>
            <w:tcW w:w="100" w:type="dxa"/>
            <w:vAlign w:val="bottom"/>
          </w:tcPr>
          <w:p>
            <w:pPr>
              <w:spacing w:after="0"/>
              <w:rPr>
                <w:sz w:val="16"/>
                <w:szCs w:val="16"/>
                <w:color w:val="auto"/>
              </w:rPr>
            </w:pPr>
          </w:p>
        </w:tc>
        <w:tc>
          <w:tcPr>
            <w:tcW w:w="4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7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Dividends distributed or amounts attributable to senior preferred stock</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(4,477)</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(4,995)</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(8,801)</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4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Earnings per share: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240" w:type="dxa"/>
            <w:vAlign w:val="bottom"/>
            <w:gridSpan w:val="2"/>
          </w:tcPr>
          <w:p>
            <w:pPr>
              <w:ind w:left="220"/>
              <w:spacing w:after="0"/>
              <w:rPr>
                <w:sz w:val="20"/>
                <w:szCs w:val="20"/>
                <w:color w:val="auto"/>
              </w:rPr>
            </w:pPr>
            <w:r>
              <w:rPr>
                <w:rFonts w:ascii="Arial" w:cs="Arial" w:eastAsia="Arial" w:hAnsi="Arial"/>
                <w:sz w:val="14"/>
                <w:szCs w:val="14"/>
                <w:color w:val="auto"/>
              </w:rPr>
              <w:t>Basic</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8"/>
                <w:szCs w:val="18"/>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8"/>
                <w:szCs w:val="18"/>
                <w:color w:val="auto"/>
              </w:rPr>
            </w:pPr>
          </w:p>
        </w:tc>
        <w:tc>
          <w:tcPr>
            <w:tcW w:w="4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7240" w:type="dxa"/>
            <w:vAlign w:val="bottom"/>
            <w:gridSpan w:val="2"/>
          </w:tcPr>
          <w:p>
            <w:pPr>
              <w:ind w:left="22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Weighted-average common shares outstanding: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240" w:type="dxa"/>
            <w:vAlign w:val="bottom"/>
            <w:gridSpan w:val="2"/>
          </w:tcPr>
          <w:p>
            <w:pPr>
              <w:ind w:left="22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5,867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5,867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240" w:type="dxa"/>
            <w:vAlign w:val="bottom"/>
            <w:gridSpan w:val="2"/>
          </w:tcPr>
          <w:p>
            <w:pPr>
              <w:ind w:left="22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5,893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5,893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387985</wp:posOffset>
            </wp:positionV>
            <wp:extent cx="680593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160020</wp:posOffset>
            </wp:positionV>
            <wp:extent cx="7164070"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20"/>
          </w:cols>
          <w:pgMar w:left="340" w:top="248" w:right="239" w:bottom="1440" w:gutter="0" w:footer="0" w:header="0"/>
        </w:sectPr>
      </w:pPr>
    </w:p>
    <w:bookmarkStart w:id="65" w:name="page66"/>
    <w:bookmarkEnd w:id="65"/>
    <w:p>
      <w:pPr>
        <w:ind w:left="6540"/>
        <w:spacing w:after="0"/>
        <w:rPr>
          <w:sz w:val="20"/>
          <w:szCs w:val="20"/>
          <w:color w:val="auto"/>
        </w:rPr>
      </w:pPr>
      <w:r>
        <w:rPr>
          <w:rFonts w:ascii="Arial" w:cs="Arial" w:eastAsia="Arial" w:hAnsi="Arial"/>
          <w:sz w:val="13"/>
          <w:szCs w:val="13"/>
          <w:color w:val="05314D"/>
        </w:rPr>
        <w:t>Financial Statements |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072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39"/>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39"/>
        <w:spacing w:after="0"/>
        <w:rPr>
          <w:sz w:val="20"/>
          <w:szCs w:val="20"/>
          <w:color w:val="auto"/>
        </w:rPr>
      </w:pPr>
      <w:r>
        <w:rPr>
          <w:rFonts w:ascii="Georgia" w:cs="Georgia" w:eastAsia="Georgia" w:hAnsi="Georgia"/>
          <w:sz w:val="27"/>
          <w:szCs w:val="27"/>
          <w:b w:val="1"/>
          <w:bCs w:val="1"/>
          <w:color w:val="05314D"/>
        </w:rPr>
        <w:t>Condensed Consolidated Statements of Cash Flows — (Unaudited)</w:t>
      </w:r>
    </w:p>
    <w:p>
      <w:pPr>
        <w:spacing w:after="0" w:line="84" w:lineRule="exact"/>
        <w:rPr>
          <w:sz w:val="20"/>
          <w:szCs w:val="20"/>
          <w:color w:val="auto"/>
        </w:rPr>
      </w:pPr>
    </w:p>
    <w:p>
      <w:pPr>
        <w:jc w:val="center"/>
        <w:ind w:right="-39"/>
        <w:spacing w:after="0"/>
        <w:rPr>
          <w:sz w:val="20"/>
          <w:szCs w:val="20"/>
          <w:color w:val="auto"/>
        </w:rPr>
      </w:pPr>
      <w:r>
        <w:rPr>
          <w:rFonts w:ascii="Georgia" w:cs="Georgia" w:eastAsia="Georgia" w:hAnsi="Georgia"/>
          <w:sz w:val="17"/>
          <w:szCs w:val="17"/>
          <w:b w:val="1"/>
          <w:bCs w:val="1"/>
          <w:color w:val="001543"/>
        </w:rPr>
        <w:t>(Dollars in millions)</w:t>
      </w:r>
    </w:p>
    <w:p>
      <w:pPr>
        <w:spacing w:after="0" w:line="117"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For the Six Months Ended June</w:t>
      </w:r>
    </w:p>
    <w:p>
      <w:pPr>
        <w:jc w:val="center"/>
        <w:ind w:left="8900"/>
        <w:spacing w:after="0"/>
        <w:rPr>
          <w:sz w:val="20"/>
          <w:szCs w:val="20"/>
          <w:color w:val="auto"/>
        </w:rPr>
      </w:pPr>
      <w:r>
        <w:rPr>
          <w:rFonts w:ascii="Arial" w:cs="Arial" w:eastAsia="Arial" w:hAnsi="Arial"/>
          <w:sz w:val="14"/>
          <w:szCs w:val="14"/>
          <w:b w:val="1"/>
          <w:bCs w:val="1"/>
          <w:color w:val="auto"/>
        </w:rPr>
        <w:t>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60" w:type="dxa"/>
            <w:vAlign w:val="bottom"/>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180" w:type="dxa"/>
            <w:vAlign w:val="bottom"/>
            <w:tcBorders>
              <w:top w:val="single" w:sz="8" w:color="2C6937"/>
              <w:bottom w:val="single" w:sz="8" w:color="2C6937"/>
            </w:tcBorders>
          </w:tcPr>
          <w:p>
            <w:pPr>
              <w:spacing w:after="0"/>
              <w:rPr>
                <w:sz w:val="16"/>
                <w:szCs w:val="16"/>
                <w:color w:val="auto"/>
              </w:rPr>
            </w:pPr>
          </w:p>
        </w:tc>
        <w:tc>
          <w:tcPr>
            <w:tcW w:w="680" w:type="dxa"/>
            <w:vAlign w:val="bottom"/>
            <w:tcBorders>
              <w:top w:val="single" w:sz="8" w:color="2C6937"/>
              <w:bottom w:val="single" w:sz="8" w:color="2C6937"/>
            </w:tcBorders>
          </w:tcPr>
          <w:p>
            <w:pPr>
              <w:jc w:val="right"/>
              <w:ind w:right="19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2C6937"/>
              <w:bottom w:val="single" w:sz="8" w:color="2C6937"/>
            </w:tcBorders>
          </w:tcPr>
          <w:p>
            <w:pPr>
              <w:spacing w:after="0"/>
              <w:rPr>
                <w:sz w:val="16"/>
                <w:szCs w:val="16"/>
                <w:color w:val="auto"/>
              </w:rPr>
            </w:pPr>
          </w:p>
        </w:tc>
        <w:tc>
          <w:tcPr>
            <w:tcW w:w="100" w:type="dxa"/>
            <w:vAlign w:val="bottom"/>
            <w:tcBorders>
              <w:top w:val="single" w:sz="8" w:color="2C6937"/>
            </w:tcBorders>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180" w:type="dxa"/>
            <w:vAlign w:val="bottom"/>
            <w:tcBorders>
              <w:top w:val="single" w:sz="8" w:color="2C6937"/>
              <w:bottom w:val="single" w:sz="8" w:color="2C6937"/>
            </w:tcBorders>
          </w:tcPr>
          <w:p>
            <w:pPr>
              <w:spacing w:after="0"/>
              <w:rPr>
                <w:sz w:val="16"/>
                <w:szCs w:val="16"/>
                <w:color w:val="auto"/>
              </w:rPr>
            </w:pPr>
          </w:p>
        </w:tc>
        <w:tc>
          <w:tcPr>
            <w:tcW w:w="68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2C6937"/>
              <w:bottom w:val="single" w:sz="8" w:color="2C6937"/>
            </w:tcBorders>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8,622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6,245</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provided by (used in) investing activities: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Mortgage loans acquired held for investment:</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9060" w:type="dxa"/>
            <w:vAlign w:val="bottom"/>
            <w:gridSpan w:val="2"/>
          </w:tcPr>
          <w:p>
            <w:pPr>
              <w:ind w:left="400"/>
              <w:spacing w:after="0"/>
              <w:rPr>
                <w:sz w:val="20"/>
                <w:szCs w:val="20"/>
                <w:color w:val="auto"/>
              </w:rPr>
            </w:pPr>
            <w:r>
              <w:rPr>
                <w:rFonts w:ascii="Arial" w:cs="Arial" w:eastAsia="Arial" w:hAnsi="Arial"/>
                <w:sz w:val="14"/>
                <w:szCs w:val="14"/>
                <w:color w:val="auto"/>
              </w:rPr>
              <w:t>Purchases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(64,066)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(61,064)</w:t>
            </w:r>
          </w:p>
        </w:tc>
        <w:tc>
          <w:tcPr>
            <w:tcW w:w="100" w:type="dxa"/>
            <w:vAlign w:val="bottom"/>
          </w:tcPr>
          <w:p>
            <w:pPr>
              <w:spacing w:after="0"/>
              <w:rPr>
                <w:sz w:val="17"/>
                <w:szCs w:val="17"/>
                <w:color w:val="auto"/>
              </w:rPr>
            </w:pPr>
          </w:p>
        </w:tc>
      </w:tr>
      <w:tr>
        <w:trPr>
          <w:trHeight w:val="193"/>
        </w:trPr>
        <w:tc>
          <w:tcPr>
            <w:tcW w:w="9060" w:type="dxa"/>
            <w:vAlign w:val="bottom"/>
            <w:gridSpan w:val="2"/>
          </w:tcPr>
          <w:p>
            <w:pPr>
              <w:ind w:left="420"/>
              <w:spacing w:after="0"/>
              <w:rPr>
                <w:sz w:val="20"/>
                <w:szCs w:val="20"/>
                <w:color w:val="auto"/>
              </w:rPr>
            </w:pPr>
            <w:r>
              <w:rPr>
                <w:rFonts w:ascii="Arial" w:cs="Arial" w:eastAsia="Arial" w:hAnsi="Arial"/>
                <w:sz w:val="14"/>
                <w:szCs w:val="14"/>
                <w:color w:val="auto"/>
              </w:rPr>
              <w:t>Proceeds from sales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1,952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1,540</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420"/>
              <w:spacing w:after="0"/>
              <w:rPr>
                <w:sz w:val="20"/>
                <w:szCs w:val="20"/>
                <w:color w:val="auto"/>
              </w:rPr>
            </w:pPr>
            <w:r>
              <w:rPr>
                <w:rFonts w:ascii="Arial" w:cs="Arial" w:eastAsia="Arial" w:hAnsi="Arial"/>
                <w:sz w:val="14"/>
                <w:szCs w:val="14"/>
                <w:color w:val="auto"/>
              </w:rPr>
              <w:t>Proceeds from repayments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168,189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168,975</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Advances to lenders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(39,996)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(53,273)</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disposition of acquired property, preforeclosure sales and insurance proceeds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2,143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3,139</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Net change in federal funds sold and securities purchased under agreements to resell</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3,050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(18,485)</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(739)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(1,162)</w:t>
            </w:r>
          </w:p>
        </w:tc>
        <w:tc>
          <w:tcPr>
            <w:tcW w:w="100" w:type="dxa"/>
            <w:vAlign w:val="bottom"/>
          </w:tcPr>
          <w:p>
            <w:pPr>
              <w:spacing w:after="0"/>
              <w:rPr>
                <w:sz w:val="16"/>
                <w:szCs w:val="16"/>
                <w:color w:val="auto"/>
              </w:rPr>
            </w:pPr>
          </w:p>
        </w:tc>
      </w:tr>
      <w:tr>
        <w:trPr>
          <w:trHeight w:val="186"/>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70,533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39,670</w:t>
            </w:r>
          </w:p>
        </w:tc>
        <w:tc>
          <w:tcPr>
            <w:tcW w:w="100" w:type="dxa"/>
            <w:vAlign w:val="bottom"/>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provided by (used in) financing activities: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debt of Fannie Mae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242,960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206,879</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Payments to redeem debt of Fannie Mae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(248,397)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(203,515)</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debt of consolidated trusts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105,591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109,556</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Payments to redeem debt of consolidated trusts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(169,702)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(167,241)</w:t>
            </w:r>
          </w:p>
        </w:tc>
        <w:tc>
          <w:tcPr>
            <w:tcW w:w="100" w:type="dxa"/>
            <w:vAlign w:val="bottom"/>
          </w:tcPr>
          <w:p>
            <w:pPr>
              <w:spacing w:after="0"/>
              <w:rPr>
                <w:sz w:val="16"/>
                <w:szCs w:val="16"/>
                <w:color w:val="auto"/>
              </w:rPr>
            </w:pPr>
          </w:p>
        </w:tc>
      </w:tr>
      <w:tr>
        <w:trPr>
          <w:trHeight w:val="186"/>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(69,548)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(54,321)</w:t>
            </w:r>
          </w:p>
        </w:tc>
        <w:tc>
          <w:tcPr>
            <w:tcW w:w="100" w:type="dxa"/>
            <w:vAlign w:val="bottom"/>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 and cash equivalents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9,607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(8,406)</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Cash, cash equivalents and restricted cash and cash equivalents at beginning of period</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68,706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87,841</w:t>
            </w:r>
          </w:p>
        </w:tc>
        <w:tc>
          <w:tcPr>
            <w:tcW w:w="100" w:type="dxa"/>
            <w:vAlign w:val="bottom"/>
          </w:tcPr>
          <w:p>
            <w:pPr>
              <w:spacing w:after="0"/>
              <w:rPr>
                <w:sz w:val="16"/>
                <w:szCs w:val="16"/>
                <w:color w:val="auto"/>
              </w:rPr>
            </w:pPr>
          </w:p>
        </w:tc>
      </w:tr>
      <w:tr>
        <w:trPr>
          <w:trHeight w:val="186"/>
        </w:trPr>
        <w:tc>
          <w:tcPr>
            <w:tcW w:w="9060" w:type="dxa"/>
            <w:vAlign w:val="bottom"/>
            <w:gridSpan w:val="2"/>
          </w:tcPr>
          <w:p>
            <w:pPr>
              <w:ind w:left="180"/>
              <w:spacing w:after="0"/>
              <w:rPr>
                <w:sz w:val="20"/>
                <w:szCs w:val="20"/>
                <w:color w:val="auto"/>
              </w:rPr>
            </w:pPr>
            <w:r>
              <w:rPr>
                <w:rFonts w:ascii="Arial" w:cs="Arial" w:eastAsia="Arial" w:hAnsi="Arial"/>
                <w:sz w:val="14"/>
                <w:szCs w:val="14"/>
                <w:b w:val="1"/>
                <w:bCs w:val="1"/>
                <w:color w:val="auto"/>
              </w:rPr>
              <w:t>Cash, cash equivalents and restricted cash and cash equivalents at end of period</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78,313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79,435</w:t>
            </w:r>
          </w:p>
        </w:tc>
        <w:tc>
          <w:tcPr>
            <w:tcW w:w="100" w:type="dxa"/>
            <w:vAlign w:val="bottom"/>
          </w:tcPr>
          <w:p>
            <w:pPr>
              <w:spacing w:after="0"/>
              <w:rPr>
                <w:sz w:val="16"/>
                <w:szCs w:val="16"/>
                <w:color w:val="auto"/>
              </w:rPr>
            </w:pPr>
          </w:p>
        </w:tc>
      </w:tr>
      <w:tr>
        <w:trPr>
          <w:trHeight w:val="20"/>
        </w:trPr>
        <w:tc>
          <w:tcPr>
            <w:tcW w:w="8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4"/>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paid during the period for:</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Interest</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63,302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54,887</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1,450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16"/>
                <w:szCs w:val="16"/>
                <w:color w:val="auto"/>
              </w:rPr>
            </w:pPr>
          </w:p>
        </w:tc>
      </w:tr>
    </w:tbl>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396240</wp:posOffset>
            </wp:positionV>
            <wp:extent cx="68059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66" w:name="page67"/>
    <w:bookmarkEnd w:id="66"/>
    <w:p>
      <w:pPr>
        <w:jc w:val="right"/>
        <w:ind w:right="100"/>
        <w:spacing w:after="0"/>
        <w:rPr>
          <w:sz w:val="20"/>
          <w:szCs w:val="20"/>
          <w:color w:val="auto"/>
        </w:rPr>
      </w:pPr>
      <w:r>
        <w:rPr>
          <w:rFonts w:ascii="Arial" w:cs="Arial" w:eastAsia="Arial" w:hAnsi="Arial"/>
          <w:sz w:val="14"/>
          <w:szCs w:val="14"/>
          <w:color w:val="001543"/>
        </w:rPr>
        <w:t>Financial Statements | Condensed 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17145</wp:posOffset>
            </wp:positionV>
            <wp:extent cx="70072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01543"/>
        </w:rPr>
        <w:t>(In conservatorship)</w:t>
      </w:r>
    </w:p>
    <w:p>
      <w:pPr>
        <w:spacing w:after="0" w:line="99" w:lineRule="exact"/>
        <w:rPr>
          <w:sz w:val="20"/>
          <w:szCs w:val="20"/>
          <w:color w:val="auto"/>
        </w:rPr>
      </w:pPr>
    </w:p>
    <w:p>
      <w:pPr>
        <w:jc w:val="center"/>
        <w:spacing w:after="0"/>
        <w:rPr>
          <w:sz w:val="20"/>
          <w:szCs w:val="20"/>
          <w:color w:val="auto"/>
        </w:rPr>
      </w:pPr>
      <w:r>
        <w:rPr>
          <w:rFonts w:ascii="Georgia" w:cs="Georgia" w:eastAsia="Georgia" w:hAnsi="Georgia"/>
          <w:sz w:val="27"/>
          <w:szCs w:val="27"/>
          <w:b w:val="1"/>
          <w:bCs w:val="1"/>
          <w:color w:val="05314D"/>
        </w:rPr>
        <w:t>Condensed Consolidated Statements of Changes in</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27"/>
          <w:szCs w:val="27"/>
          <w:b w:val="1"/>
          <w:bCs w:val="1"/>
          <w:color w:val="05314D"/>
        </w:rPr>
        <w:t>Equity — (Unaudited)</w:t>
      </w:r>
    </w:p>
    <w:p>
      <w:pPr>
        <w:spacing w:after="0" w:line="97"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5314D"/>
        </w:rPr>
        <w:t>(Dollars and shares in millions)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6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2440" w:type="dxa"/>
            <w:vAlign w:val="bottom"/>
            <w:tcBorders>
              <w:bottom w:val="single" w:sz="8" w:color="2C6937"/>
            </w:tcBorders>
            <w:gridSpan w:val="8"/>
          </w:tcPr>
          <w:p>
            <w:pPr>
              <w:ind w:left="40"/>
              <w:spacing w:after="0"/>
              <w:rPr>
                <w:sz w:val="20"/>
                <w:szCs w:val="20"/>
                <w:color w:val="auto"/>
              </w:rPr>
            </w:pPr>
            <w:r>
              <w:rPr>
                <w:rFonts w:ascii="Arial" w:cs="Arial" w:eastAsia="Arial" w:hAnsi="Arial"/>
                <w:sz w:val="10"/>
                <w:szCs w:val="10"/>
                <w:b w:val="1"/>
                <w:bCs w:val="1"/>
                <w:color w:val="auto"/>
              </w:rPr>
              <w:t>Fannie Mae Stockholders’ Equity</w:t>
            </w:r>
          </w:p>
        </w:tc>
        <w:tc>
          <w:tcPr>
            <w:tcW w:w="120" w:type="dxa"/>
            <w:vAlign w:val="bottom"/>
            <w:tcBorders>
              <w:bottom w:val="single" w:sz="8" w:color="2C6937"/>
            </w:tcBorders>
          </w:tcPr>
          <w:p>
            <w:pPr>
              <w:spacing w:after="0"/>
              <w:rPr>
                <w:sz w:val="12"/>
                <w:szCs w:val="12"/>
                <w:color w:val="auto"/>
              </w:rPr>
            </w:pPr>
          </w:p>
        </w:tc>
        <w:tc>
          <w:tcPr>
            <w:tcW w:w="9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5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Borders>
              <w:bottom w:val="single" w:sz="8" w:color="2C6937"/>
            </w:tcBorders>
            <w:gridSpan w:val="5"/>
          </w:tcPr>
          <w:p>
            <w:pPr>
              <w:jc w:val="center"/>
              <w:ind w:left="51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Senior</w:t>
            </w:r>
          </w:p>
        </w:tc>
        <w:tc>
          <w:tcPr>
            <w:tcW w:w="12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Preferred</w:t>
            </w:r>
          </w:p>
        </w:tc>
        <w:tc>
          <w:tcPr>
            <w:tcW w:w="120" w:type="dxa"/>
            <w:vAlign w:val="bottom"/>
          </w:tcPr>
          <w:p>
            <w:pPr>
              <w:spacing w:after="0"/>
              <w:rPr>
                <w:sz w:val="7"/>
                <w:szCs w:val="7"/>
                <w:color w:val="auto"/>
              </w:rPr>
            </w:pPr>
          </w:p>
        </w:tc>
        <w:tc>
          <w:tcPr>
            <w:tcW w:w="7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7"/>
              </w:rPr>
              <w:t>Common</w:t>
            </w:r>
          </w:p>
        </w:tc>
        <w:tc>
          <w:tcPr>
            <w:tcW w:w="10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7"/>
                <w:szCs w:val="7"/>
                <w:color w:val="auto"/>
              </w:rPr>
            </w:pPr>
          </w:p>
        </w:tc>
        <w:tc>
          <w:tcPr>
            <w:tcW w:w="1000" w:type="dxa"/>
            <w:vAlign w:val="bottom"/>
            <w:gridSpan w:val="2"/>
          </w:tcPr>
          <w:p>
            <w:pPr>
              <w:jc w:val="center"/>
              <w:ind w:right="24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Treasury</w:t>
            </w: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7"/>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2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500" w:type="dxa"/>
            <w:vAlign w:val="bottom"/>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2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March 31, 2024</w:t>
            </w:r>
          </w:p>
        </w:tc>
        <w:tc>
          <w:tcPr>
            <w:tcW w:w="6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100" w:type="dxa"/>
            <w:vAlign w:val="bottom"/>
            <w:tcBorders>
              <w:top w:val="single" w:sz="8" w:color="2C6937"/>
            </w:tcBorders>
          </w:tcPr>
          <w:p>
            <w:pPr>
              <w:spacing w:after="0"/>
              <w:rPr>
                <w:sz w:val="12"/>
                <w:szCs w:val="12"/>
                <w:color w:val="auto"/>
              </w:rPr>
            </w:pP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6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(51,283)</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82,006</w:t>
            </w:r>
          </w:p>
        </w:tc>
        <w:tc>
          <w:tcPr>
            <w:tcW w:w="0" w:type="dxa"/>
            <w:vAlign w:val="bottom"/>
          </w:tcPr>
          <w:p>
            <w:pPr>
              <w:spacing w:after="0"/>
              <w:rPr>
                <w:sz w:val="1"/>
                <w:szCs w:val="1"/>
                <w:color w:val="auto"/>
              </w:rPr>
            </w:pPr>
          </w:p>
        </w:tc>
      </w:tr>
      <w:tr>
        <w:trPr>
          <w:trHeight w:val="149"/>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4,484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4,484</w:t>
            </w:r>
          </w:p>
        </w:tc>
        <w:tc>
          <w:tcPr>
            <w:tcW w:w="0" w:type="dxa"/>
            <w:vAlign w:val="bottom"/>
          </w:tcPr>
          <w:p>
            <w:pPr>
              <w:spacing w:after="0"/>
              <w:rPr>
                <w:sz w:val="1"/>
                <w:szCs w:val="1"/>
                <w:color w:val="auto"/>
              </w:rPr>
            </w:pPr>
          </w:p>
        </w:tc>
      </w:tr>
      <w:tr>
        <w:trPr>
          <w:trHeight w:val="155"/>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40"/>
              <w:spacing w:after="0"/>
              <w:rPr>
                <w:sz w:val="20"/>
                <w:szCs w:val="20"/>
                <w:color w:val="auto"/>
              </w:rPr>
            </w:pPr>
            <w:r>
              <w:rPr>
                <w:rFonts w:ascii="Arial" w:cs="Arial" w:eastAsia="Arial" w:hAnsi="Arial"/>
                <w:sz w:val="10"/>
                <w:szCs w:val="10"/>
                <w:color w:val="auto"/>
              </w:rPr>
              <w:t>sale securities (net of taxes of $2)</w:t>
            </w:r>
          </w:p>
        </w:tc>
        <w:tc>
          <w:tcPr>
            <w:tcW w:w="76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included in net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40"/>
              <w:spacing w:after="0"/>
              <w:rPr>
                <w:sz w:val="20"/>
                <w:szCs w:val="20"/>
                <w:color w:val="auto"/>
              </w:rPr>
            </w:pPr>
            <w:r>
              <w:rPr>
                <w:rFonts w:ascii="Arial" w:cs="Arial" w:eastAsia="Arial" w:hAnsi="Arial"/>
                <w:sz w:val="10"/>
                <w:szCs w:val="10"/>
                <w:color w:val="auto"/>
              </w:rPr>
              <w:t>income (net of taxes of $0)</w:t>
            </w:r>
          </w:p>
        </w:tc>
        <w:tc>
          <w:tcPr>
            <w:tcW w:w="76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8"/>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Total 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4,477</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June 30, 2024</w:t>
            </w:r>
          </w:p>
        </w:tc>
        <w:tc>
          <w:tcPr>
            <w:tcW w:w="12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spacing w:after="0"/>
              <w:rPr>
                <w:sz w:val="12"/>
                <w:szCs w:val="12"/>
                <w:color w:val="auto"/>
              </w:rPr>
            </w:pP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6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(46,799)</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86,483</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6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2440" w:type="dxa"/>
            <w:vAlign w:val="bottom"/>
            <w:tcBorders>
              <w:bottom w:val="single" w:sz="8" w:color="2C6937"/>
            </w:tcBorders>
            <w:gridSpan w:val="8"/>
          </w:tcPr>
          <w:p>
            <w:pPr>
              <w:ind w:left="40"/>
              <w:spacing w:after="0"/>
              <w:rPr>
                <w:sz w:val="20"/>
                <w:szCs w:val="20"/>
                <w:color w:val="auto"/>
              </w:rPr>
            </w:pPr>
            <w:r>
              <w:rPr>
                <w:rFonts w:ascii="Arial" w:cs="Arial" w:eastAsia="Arial" w:hAnsi="Arial"/>
                <w:sz w:val="10"/>
                <w:szCs w:val="10"/>
                <w:b w:val="1"/>
                <w:bCs w:val="1"/>
                <w:color w:val="auto"/>
              </w:rPr>
              <w:t>Fannie Mae Stockholders’ Equity</w:t>
            </w:r>
          </w:p>
        </w:tc>
        <w:tc>
          <w:tcPr>
            <w:tcW w:w="120" w:type="dxa"/>
            <w:vAlign w:val="bottom"/>
            <w:tcBorders>
              <w:bottom w:val="single" w:sz="8" w:color="2C6937"/>
            </w:tcBorders>
          </w:tcPr>
          <w:p>
            <w:pPr>
              <w:spacing w:after="0"/>
              <w:rPr>
                <w:sz w:val="12"/>
                <w:szCs w:val="12"/>
                <w:color w:val="auto"/>
              </w:rPr>
            </w:pPr>
          </w:p>
        </w:tc>
        <w:tc>
          <w:tcPr>
            <w:tcW w:w="9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5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Borders>
              <w:bottom w:val="single" w:sz="8" w:color="2C6937"/>
            </w:tcBorders>
            <w:gridSpan w:val="5"/>
          </w:tcPr>
          <w:p>
            <w:pPr>
              <w:jc w:val="center"/>
              <w:ind w:left="51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Senior</w:t>
            </w:r>
          </w:p>
        </w:tc>
        <w:tc>
          <w:tcPr>
            <w:tcW w:w="12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Preferred</w:t>
            </w:r>
          </w:p>
        </w:tc>
        <w:tc>
          <w:tcPr>
            <w:tcW w:w="120" w:type="dxa"/>
            <w:vAlign w:val="bottom"/>
          </w:tcPr>
          <w:p>
            <w:pPr>
              <w:spacing w:after="0"/>
              <w:rPr>
                <w:sz w:val="7"/>
                <w:szCs w:val="7"/>
                <w:color w:val="auto"/>
              </w:rPr>
            </w:pPr>
          </w:p>
        </w:tc>
        <w:tc>
          <w:tcPr>
            <w:tcW w:w="7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7"/>
              </w:rPr>
              <w:t>Common</w:t>
            </w:r>
          </w:p>
        </w:tc>
        <w:tc>
          <w:tcPr>
            <w:tcW w:w="10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7"/>
                <w:szCs w:val="7"/>
                <w:color w:val="auto"/>
              </w:rPr>
            </w:pPr>
          </w:p>
        </w:tc>
        <w:tc>
          <w:tcPr>
            <w:tcW w:w="1000" w:type="dxa"/>
            <w:vAlign w:val="bottom"/>
            <w:gridSpan w:val="2"/>
          </w:tcPr>
          <w:p>
            <w:pPr>
              <w:jc w:val="center"/>
              <w:ind w:right="240"/>
              <w:spacing w:after="0" w:line="89"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Treasury</w:t>
            </w: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7"/>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2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500" w:type="dxa"/>
            <w:vAlign w:val="bottom"/>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2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December 31, 2023</w:t>
            </w:r>
          </w:p>
        </w:tc>
        <w:tc>
          <w:tcPr>
            <w:tcW w:w="6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100" w:type="dxa"/>
            <w:vAlign w:val="bottom"/>
            <w:tcBorders>
              <w:top w:val="single" w:sz="8" w:color="2C6937"/>
            </w:tcBorders>
          </w:tcPr>
          <w:p>
            <w:pPr>
              <w:spacing w:after="0"/>
              <w:rPr>
                <w:sz w:val="12"/>
                <w:szCs w:val="12"/>
                <w:color w:val="auto"/>
              </w:rPr>
            </w:pP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6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(55,603)</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77,682</w:t>
            </w:r>
          </w:p>
        </w:tc>
        <w:tc>
          <w:tcPr>
            <w:tcW w:w="0" w:type="dxa"/>
            <w:vAlign w:val="bottom"/>
          </w:tcPr>
          <w:p>
            <w:pPr>
              <w:spacing w:after="0"/>
              <w:rPr>
                <w:sz w:val="1"/>
                <w:szCs w:val="1"/>
                <w:color w:val="auto"/>
              </w:rPr>
            </w:pPr>
          </w:p>
        </w:tc>
      </w:tr>
      <w:tr>
        <w:trPr>
          <w:trHeight w:val="149"/>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8,804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8,804</w:t>
            </w: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40"/>
              <w:spacing w:after="0"/>
              <w:rPr>
                <w:sz w:val="20"/>
                <w:szCs w:val="20"/>
                <w:color w:val="auto"/>
              </w:rPr>
            </w:pPr>
            <w:r>
              <w:rPr>
                <w:rFonts w:ascii="Arial" w:cs="Arial" w:eastAsia="Arial" w:hAnsi="Arial"/>
                <w:sz w:val="10"/>
                <w:szCs w:val="10"/>
                <w:color w:val="auto"/>
              </w:rPr>
              <w:t>sale securities (net of taxes of $0)</w:t>
            </w:r>
          </w:p>
        </w:tc>
        <w:tc>
          <w:tcPr>
            <w:tcW w:w="76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included in net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40"/>
              <w:spacing w:after="0"/>
              <w:rPr>
                <w:sz w:val="20"/>
                <w:szCs w:val="20"/>
                <w:color w:val="auto"/>
              </w:rPr>
            </w:pPr>
            <w:r>
              <w:rPr>
                <w:rFonts w:ascii="Arial" w:cs="Arial" w:eastAsia="Arial" w:hAnsi="Arial"/>
                <w:sz w:val="10"/>
                <w:szCs w:val="10"/>
                <w:color w:val="auto"/>
              </w:rPr>
              <w:t>income (net of taxes of $0)</w:t>
            </w:r>
          </w:p>
        </w:tc>
        <w:tc>
          <w:tcPr>
            <w:tcW w:w="76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48"/>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Total 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8,801</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June 30, 2024</w:t>
            </w:r>
          </w:p>
        </w:tc>
        <w:tc>
          <w:tcPr>
            <w:tcW w:w="12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spacing w:after="0"/>
              <w:rPr>
                <w:sz w:val="12"/>
                <w:szCs w:val="12"/>
                <w:color w:val="auto"/>
              </w:rPr>
            </w:pP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6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(46,799)</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86,483</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622300</wp:posOffset>
            </wp:positionV>
            <wp:extent cx="680593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151765</wp:posOffset>
            </wp:positionV>
            <wp:extent cx="7164070"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248" w:right="359" w:bottom="1440" w:gutter="0" w:footer="0" w:header="0"/>
        </w:sectPr>
      </w:pPr>
    </w:p>
    <w:bookmarkStart w:id="67" w:name="page68"/>
    <w:bookmarkEnd w:id="67"/>
    <w:p>
      <w:pPr>
        <w:ind w:left="6120"/>
        <w:spacing w:after="0"/>
        <w:rPr>
          <w:sz w:val="20"/>
          <w:szCs w:val="20"/>
          <w:color w:val="auto"/>
        </w:rPr>
      </w:pPr>
      <w:r>
        <w:rPr>
          <w:rFonts w:ascii="Arial" w:cs="Arial" w:eastAsia="Arial" w:hAnsi="Arial"/>
          <w:sz w:val="14"/>
          <w:szCs w:val="14"/>
          <w:color w:val="001543"/>
        </w:rPr>
        <w:t>Financial Statements | Condensed 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17145</wp:posOffset>
            </wp:positionV>
            <wp:extent cx="70072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60" w:type="dxa"/>
            <w:vAlign w:val="bottom"/>
            <w:tcBorders>
              <w:bottom w:val="single" w:sz="8" w:color="2C6937"/>
            </w:tcBorders>
            <w:gridSpan w:val="8"/>
          </w:tcPr>
          <w:p>
            <w:pPr>
              <w:ind w:left="60"/>
              <w:spacing w:after="0"/>
              <w:rPr>
                <w:sz w:val="20"/>
                <w:szCs w:val="20"/>
                <w:color w:val="auto"/>
              </w:rPr>
            </w:pPr>
            <w:r>
              <w:rPr>
                <w:rFonts w:ascii="Arial" w:cs="Arial" w:eastAsia="Arial" w:hAnsi="Arial"/>
                <w:sz w:val="10"/>
                <w:szCs w:val="10"/>
                <w:b w:val="1"/>
                <w:bCs w:val="1"/>
                <w:color w:val="auto"/>
              </w:rPr>
              <w:t>Fannie Mae Stockholders’ Equity</w:t>
            </w:r>
          </w:p>
        </w:tc>
        <w:tc>
          <w:tcPr>
            <w:tcW w:w="120" w:type="dxa"/>
            <w:vAlign w:val="bottom"/>
            <w:tcBorders>
              <w:bottom w:val="single" w:sz="8" w:color="2C6937"/>
            </w:tcBorders>
          </w:tcPr>
          <w:p>
            <w:pPr>
              <w:spacing w:after="0"/>
              <w:rPr>
                <w:sz w:val="12"/>
                <w:szCs w:val="12"/>
                <w:color w:val="auto"/>
              </w:rPr>
            </w:pPr>
          </w:p>
        </w:tc>
        <w:tc>
          <w:tcPr>
            <w:tcW w:w="9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5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bottom w:val="single" w:sz="8" w:color="2C6937"/>
            </w:tcBorders>
            <w:gridSpan w:val="5"/>
          </w:tcPr>
          <w:p>
            <w:pPr>
              <w:jc w:val="center"/>
              <w:ind w:left="510"/>
              <w:spacing w:after="0"/>
              <w:rPr>
                <w:sz w:val="20"/>
                <w:szCs w:val="20"/>
                <w:color w:val="auto"/>
              </w:rPr>
            </w:pPr>
            <w:r>
              <w:rPr>
                <w:rFonts w:ascii="Arial" w:cs="Arial" w:eastAsia="Arial" w:hAnsi="Arial"/>
                <w:sz w:val="10"/>
                <w:szCs w:val="10"/>
                <w:b w:val="1"/>
                <w:bCs w:val="1"/>
                <w:color w:val="auto"/>
              </w:rPr>
              <w:t>Shares Outstanding</w:t>
            </w:r>
          </w:p>
        </w:tc>
        <w:tc>
          <w:tcPr>
            <w:tcW w:w="58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Preferred</w:t>
            </w:r>
          </w:p>
        </w:tc>
        <w:tc>
          <w:tcPr>
            <w:tcW w:w="120" w:type="dxa"/>
            <w:vAlign w:val="bottom"/>
          </w:tcPr>
          <w:p>
            <w:pPr>
              <w:spacing w:after="0"/>
              <w:rPr>
                <w:sz w:val="7"/>
                <w:szCs w:val="7"/>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7"/>
              </w:rPr>
              <w:t>Common</w:t>
            </w:r>
          </w:p>
        </w:tc>
        <w:tc>
          <w:tcPr>
            <w:tcW w:w="10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7"/>
                <w:szCs w:val="7"/>
                <w:color w:val="auto"/>
              </w:rPr>
            </w:pPr>
          </w:p>
        </w:tc>
        <w:tc>
          <w:tcPr>
            <w:tcW w:w="1000" w:type="dxa"/>
            <w:vAlign w:val="bottom"/>
            <w:gridSpan w:val="2"/>
          </w:tcPr>
          <w:p>
            <w:pPr>
              <w:jc w:val="center"/>
              <w:ind w:right="24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9"/>
              </w:rPr>
              <w:t>Treasury</w:t>
            </w: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8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7"/>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rPr>
              <w:t>Preferred 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7"/>
              </w:rPr>
              <w:t>Stock</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500" w:type="dxa"/>
            <w:vAlign w:val="bottom"/>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0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March 31, 2023</w:t>
            </w:r>
          </w:p>
        </w:tc>
        <w:tc>
          <w:tcPr>
            <w:tcW w:w="68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tcBorders>
          </w:tcPr>
          <w:p>
            <w:pPr>
              <w:spacing w:after="0"/>
              <w:rPr>
                <w:sz w:val="12"/>
                <w:szCs w:val="12"/>
                <w:color w:val="auto"/>
              </w:rPr>
            </w:pPr>
          </w:p>
        </w:tc>
        <w:tc>
          <w:tcPr>
            <w:tcW w:w="58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120,836</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(69,239)</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64,049</w:t>
            </w:r>
          </w:p>
        </w:tc>
        <w:tc>
          <w:tcPr>
            <w:tcW w:w="0" w:type="dxa"/>
            <w:vAlign w:val="bottom"/>
          </w:tcPr>
          <w:p>
            <w:pPr>
              <w:spacing w:after="0"/>
              <w:rPr>
                <w:sz w:val="1"/>
                <w:szCs w:val="1"/>
                <w:color w:val="auto"/>
              </w:rPr>
            </w:pPr>
          </w:p>
        </w:tc>
      </w:tr>
      <w:tr>
        <w:trPr>
          <w:trHeight w:val="149"/>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Comprehensive income: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4,994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4,994</w:t>
            </w: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Other comprehensive income, net of tax effect:</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35"/>
        </w:trPr>
        <w:tc>
          <w:tcPr>
            <w:tcW w:w="3000" w:type="dxa"/>
            <w:vAlign w:val="bottom"/>
            <w:gridSpan w:val="2"/>
          </w:tcPr>
          <w:p>
            <w:pPr>
              <w:ind w:left="340"/>
              <w:spacing w:after="0"/>
              <w:rPr>
                <w:sz w:val="20"/>
                <w:szCs w:val="20"/>
                <w:color w:val="auto"/>
              </w:rPr>
            </w:pPr>
            <w:r>
              <w:rPr>
                <w:rFonts w:ascii="Arial" w:cs="Arial" w:eastAsia="Arial" w:hAnsi="Arial"/>
                <w:sz w:val="10"/>
                <w:szCs w:val="10"/>
                <w:color w:val="auto"/>
              </w:rPr>
              <w:t>sale securities (net of taxes of $1)</w:t>
            </w:r>
          </w:p>
        </w:tc>
        <w:tc>
          <w:tcPr>
            <w:tcW w:w="78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8"/>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Total comprehensive income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4,995</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June 30, 2023</w:t>
            </w:r>
          </w:p>
        </w:tc>
        <w:tc>
          <w:tcPr>
            <w:tcW w:w="100" w:type="dxa"/>
            <w:vAlign w:val="bottom"/>
          </w:tcPr>
          <w:p>
            <w:pPr>
              <w:spacing w:after="0"/>
              <w:rPr>
                <w:sz w:val="12"/>
                <w:szCs w:val="12"/>
                <w:color w:val="auto"/>
              </w:rPr>
            </w:pPr>
          </w:p>
        </w:tc>
        <w:tc>
          <w:tcPr>
            <w:tcW w:w="68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bottom w:val="single" w:sz="8" w:color="2C6937"/>
            </w:tcBorders>
          </w:tcPr>
          <w:p>
            <w:pPr>
              <w:spacing w:after="0"/>
              <w:rPr>
                <w:sz w:val="12"/>
                <w:szCs w:val="12"/>
                <w:color w:val="auto"/>
              </w:rPr>
            </w:pPr>
          </w:p>
        </w:tc>
        <w:tc>
          <w:tcPr>
            <w:tcW w:w="58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120,836</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(64,245)</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69,044</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60" w:type="dxa"/>
            <w:vAlign w:val="bottom"/>
            <w:tcBorders>
              <w:bottom w:val="single" w:sz="8" w:color="2C6937"/>
            </w:tcBorders>
            <w:gridSpan w:val="8"/>
          </w:tcPr>
          <w:p>
            <w:pPr>
              <w:ind w:left="60"/>
              <w:spacing w:after="0"/>
              <w:rPr>
                <w:sz w:val="20"/>
                <w:szCs w:val="20"/>
                <w:color w:val="auto"/>
              </w:rPr>
            </w:pPr>
            <w:r>
              <w:rPr>
                <w:rFonts w:ascii="Arial" w:cs="Arial" w:eastAsia="Arial" w:hAnsi="Arial"/>
                <w:sz w:val="10"/>
                <w:szCs w:val="10"/>
                <w:b w:val="1"/>
                <w:bCs w:val="1"/>
                <w:color w:val="auto"/>
              </w:rPr>
              <w:t>Fannie Mae Stockholders’ Equity</w:t>
            </w:r>
          </w:p>
        </w:tc>
        <w:tc>
          <w:tcPr>
            <w:tcW w:w="120" w:type="dxa"/>
            <w:vAlign w:val="bottom"/>
            <w:tcBorders>
              <w:bottom w:val="single" w:sz="8" w:color="2C6937"/>
            </w:tcBorders>
          </w:tcPr>
          <w:p>
            <w:pPr>
              <w:spacing w:after="0"/>
              <w:rPr>
                <w:sz w:val="12"/>
                <w:szCs w:val="12"/>
                <w:color w:val="auto"/>
              </w:rPr>
            </w:pPr>
          </w:p>
        </w:tc>
        <w:tc>
          <w:tcPr>
            <w:tcW w:w="9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5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bottom w:val="single" w:sz="8" w:color="2C6937"/>
            </w:tcBorders>
            <w:gridSpan w:val="5"/>
          </w:tcPr>
          <w:p>
            <w:pPr>
              <w:jc w:val="center"/>
              <w:ind w:left="510"/>
              <w:spacing w:after="0"/>
              <w:rPr>
                <w:sz w:val="20"/>
                <w:szCs w:val="20"/>
                <w:color w:val="auto"/>
              </w:rPr>
            </w:pPr>
            <w:r>
              <w:rPr>
                <w:rFonts w:ascii="Arial" w:cs="Arial" w:eastAsia="Arial" w:hAnsi="Arial"/>
                <w:sz w:val="10"/>
                <w:szCs w:val="10"/>
                <w:b w:val="1"/>
                <w:bCs w:val="1"/>
                <w:color w:val="auto"/>
              </w:rPr>
              <w:t>Shares Outstanding</w:t>
            </w:r>
          </w:p>
        </w:tc>
        <w:tc>
          <w:tcPr>
            <w:tcW w:w="58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Preferred</w:t>
            </w:r>
          </w:p>
        </w:tc>
        <w:tc>
          <w:tcPr>
            <w:tcW w:w="120" w:type="dxa"/>
            <w:vAlign w:val="bottom"/>
          </w:tcPr>
          <w:p>
            <w:pPr>
              <w:spacing w:after="0"/>
              <w:rPr>
                <w:sz w:val="7"/>
                <w:szCs w:val="7"/>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7"/>
              </w:rPr>
              <w:t>Common</w:t>
            </w:r>
          </w:p>
        </w:tc>
        <w:tc>
          <w:tcPr>
            <w:tcW w:w="10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7"/>
                <w:szCs w:val="7"/>
                <w:color w:val="auto"/>
              </w:rPr>
            </w:pPr>
          </w:p>
        </w:tc>
        <w:tc>
          <w:tcPr>
            <w:tcW w:w="1000" w:type="dxa"/>
            <w:vAlign w:val="bottom"/>
            <w:gridSpan w:val="2"/>
          </w:tcPr>
          <w:p>
            <w:pPr>
              <w:jc w:val="center"/>
              <w:ind w:right="24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9"/>
              </w:rPr>
              <w:t>Treasury</w:t>
            </w: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9"/>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8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center"/>
              <w:ind w:right="220"/>
              <w:spacing w:after="0" w:line="89" w:lineRule="exact"/>
              <w:rPr>
                <w:sz w:val="20"/>
                <w:szCs w:val="20"/>
                <w:color w:val="auto"/>
              </w:rPr>
            </w:pPr>
            <w:r>
              <w:rPr>
                <w:rFonts w:ascii="Arial" w:cs="Arial" w:eastAsia="Arial" w:hAnsi="Arial"/>
                <w:sz w:val="9"/>
                <w:szCs w:val="9"/>
                <w:b w:val="1"/>
                <w:bCs w:val="1"/>
                <w:color w:val="auto"/>
                <w:w w:val="97"/>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rPr>
              <w:t>Preferred 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7"/>
              </w:rPr>
              <w:t>Stock</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500" w:type="dxa"/>
            <w:vAlign w:val="bottom"/>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0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December 31, 2022</w:t>
            </w:r>
          </w:p>
        </w:tc>
        <w:tc>
          <w:tcPr>
            <w:tcW w:w="68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tcBorders>
          </w:tcPr>
          <w:p>
            <w:pPr>
              <w:spacing w:after="0"/>
              <w:rPr>
                <w:sz w:val="12"/>
                <w:szCs w:val="12"/>
                <w:color w:val="auto"/>
              </w:rPr>
            </w:pPr>
          </w:p>
        </w:tc>
        <w:tc>
          <w:tcPr>
            <w:tcW w:w="58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120,836</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(73,011)</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60,277</w:t>
            </w:r>
          </w:p>
        </w:tc>
        <w:tc>
          <w:tcPr>
            <w:tcW w:w="0" w:type="dxa"/>
            <w:vAlign w:val="bottom"/>
          </w:tcPr>
          <w:p>
            <w:pPr>
              <w:spacing w:after="0"/>
              <w:rPr>
                <w:sz w:val="1"/>
                <w:szCs w:val="1"/>
                <w:color w:val="auto"/>
              </w:rPr>
            </w:pPr>
          </w:p>
        </w:tc>
      </w:tr>
      <w:tr>
        <w:trPr>
          <w:trHeight w:val="149"/>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Comprehensive income: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8,766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8,766</w:t>
            </w: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Other comprehensive income, net of tax effect:</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35"/>
        </w:trPr>
        <w:tc>
          <w:tcPr>
            <w:tcW w:w="3000" w:type="dxa"/>
            <w:vAlign w:val="bottom"/>
            <w:gridSpan w:val="2"/>
          </w:tcPr>
          <w:p>
            <w:pPr>
              <w:ind w:left="340"/>
              <w:spacing w:after="0"/>
              <w:rPr>
                <w:sz w:val="20"/>
                <w:szCs w:val="20"/>
                <w:color w:val="auto"/>
              </w:rPr>
            </w:pPr>
            <w:r>
              <w:rPr>
                <w:rFonts w:ascii="Arial" w:cs="Arial" w:eastAsia="Arial" w:hAnsi="Arial"/>
                <w:sz w:val="10"/>
                <w:szCs w:val="10"/>
                <w:color w:val="auto"/>
              </w:rPr>
              <w:t>sale securities (net of taxes of $1)</w:t>
            </w:r>
          </w:p>
        </w:tc>
        <w:tc>
          <w:tcPr>
            <w:tcW w:w="78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48"/>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Total comprehensive income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8,767</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June 30, 2023</w:t>
            </w:r>
          </w:p>
        </w:tc>
        <w:tc>
          <w:tcPr>
            <w:tcW w:w="100" w:type="dxa"/>
            <w:vAlign w:val="bottom"/>
          </w:tcPr>
          <w:p>
            <w:pPr>
              <w:spacing w:after="0"/>
              <w:rPr>
                <w:sz w:val="12"/>
                <w:szCs w:val="12"/>
                <w:color w:val="auto"/>
              </w:rPr>
            </w:pPr>
          </w:p>
        </w:tc>
        <w:tc>
          <w:tcPr>
            <w:tcW w:w="68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bottom w:val="single" w:sz="8" w:color="2C6937"/>
            </w:tcBorders>
          </w:tcPr>
          <w:p>
            <w:pPr>
              <w:spacing w:after="0"/>
              <w:rPr>
                <w:sz w:val="12"/>
                <w:szCs w:val="12"/>
                <w:color w:val="auto"/>
              </w:rPr>
            </w:pPr>
          </w:p>
        </w:tc>
        <w:tc>
          <w:tcPr>
            <w:tcW w:w="58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120,836</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(64,245)</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69,044</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1771650</wp:posOffset>
            </wp:positionV>
            <wp:extent cx="68059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160020</wp:posOffset>
            </wp:positionV>
            <wp:extent cx="7164070"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248" w:right="359" w:bottom="1440" w:gutter="0" w:footer="0" w:header="0"/>
        </w:sectPr>
      </w:pPr>
    </w:p>
    <w:bookmarkStart w:id="68" w:name="page69"/>
    <w:bookmarkEnd w:id="68"/>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19"/>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19"/>
        <w:spacing w:after="0"/>
        <w:rPr>
          <w:sz w:val="20"/>
          <w:szCs w:val="20"/>
          <w:color w:val="auto"/>
        </w:rPr>
      </w:pPr>
      <w:r>
        <w:rPr>
          <w:rFonts w:ascii="Georgia" w:cs="Georgia" w:eastAsia="Georgia" w:hAnsi="Georgia"/>
          <w:sz w:val="27"/>
          <w:szCs w:val="27"/>
          <w:b w:val="1"/>
          <w:bCs w:val="1"/>
          <w:color w:val="05314D"/>
        </w:rPr>
        <w:t>Notes to Condensed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Georgia" w:cs="Georgia" w:eastAsia="Georgia" w:hAnsi="Georgia"/>
          <w:sz w:val="27"/>
          <w:szCs w:val="27"/>
          <w:b w:val="1"/>
          <w:bCs w:val="1"/>
          <w:color w:val="05314D"/>
        </w:rPr>
        <w:t>(Unaudited)</w:t>
      </w:r>
    </w:p>
    <w:p>
      <w:pPr>
        <w:spacing w:after="0" w:line="175"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 Summary of Significant Accounting Policies</w:t>
      </w:r>
    </w:p>
    <w:p>
      <w:pPr>
        <w:spacing w:after="0" w:line="8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Fannie Mae is a leading source of financing for residential mortgages in the United States. We are a government-sponsored, stockholder-owned corporation, chartered by Congress to provide liquidity and stability to the U.S. housing market and to promote access to mortgage credit. We primarily do this by buying residential mortgage loans that are originated by lenders. We place these loans into trusts and issue guaranteed mortgage-backed securities (“MBS”) that global investors buy from us. We do not originate mortgage loans or lend money directly to borrowers.</w:t>
      </w:r>
    </w:p>
    <w:p>
      <w:pPr>
        <w:spacing w:after="0" w:line="48"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color w:val="auto"/>
        </w:rPr>
        <w:t>We are currently operating under conservatorship, with the Federal Housing Finance Agency (“FHFA”) acting as conservator. See “Note 2, Conservatorship, Senior Preferred Stock Purchase Agreement and Related Matters” below and in our annual report on Form 10-K for the year ended December 31, 2023 (“2023 Form 10-K”) for information on our conservatorship, the senior preferred stock purchase agreement, the impact of U.S. government support of our business, and related party relationships.</w:t>
      </w:r>
    </w:p>
    <w:p>
      <w:pPr>
        <w:spacing w:after="0" w:line="8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Basis of Presentation</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accounting principles generally accepted in the United States of America (“GAAP”) for interim financial information. Accordingly, they do not include all of the information and note disclosures required by GAAP for complete consolidated financial statements and therefore should be read in conjunction with our audited consolidated financial statements and related notes included in our 2023 Form 10-K. In the opinion of management, our unaudited interim condensed consolidated financial statements contain all adjustments, which include only normal recurring adjustments, necessary for a fair presentation of our results. The nature of our business is such that the results of any interim period are not necessarily indicative of results for a full year. The accompanying condensed consolidated financial statements include our accounts as well as the accounts of other entities in which we have a controlling financial interest. All intercompany balances and transactions have been eliminated. To conform to our current-period presentation, we have reclassified certain amounts reported in our prior period consolidated financial statements.</w:t>
      </w:r>
    </w:p>
    <w:p>
      <w:pPr>
        <w:spacing w:after="0" w:line="90"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Use of Estimates</w:t>
      </w:r>
    </w:p>
    <w:p>
      <w:pPr>
        <w:spacing w:after="0" w:line="8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Preparing condensed consolidated financial statements in accordance with GAAP requires management to make estimates and assumptions that affect our reported amounts of assets and liabilities and disclosure of contingent assets and liabilities as of the dates of our condensed consolidated financial statements, as well as our reported amounts of revenues and expenses during the reporting periods. Management has made significant estimates in a variety of areas including, but not limited to, the allowance for loan losses. Actual results could be different from these estimates.</w:t>
      </w:r>
    </w:p>
    <w:p>
      <w:pPr>
        <w:spacing w:after="0" w:line="9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Earnings per Share</w:t>
      </w:r>
    </w:p>
    <w:p>
      <w:pPr>
        <w:spacing w:after="0" w:line="6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Earnings per share (“EPS”) is presented for basic and diluted EPS. We include the shares of common stock that would be issuable upon full exercise of the common stock warrant in the weighted average shares outstanding for the computation of both basic and diluted earnings per share. Weighted average common shares include 4.7 billion shares for the periods ended June 30, 2024 and 2023 that would have been issued upon the full exercise of the warrant issued to Treasury from the date the warrant was issued through June 30, 2024 and 2023.</w:t>
      </w:r>
    </w:p>
    <w:p>
      <w:pPr>
        <w:spacing w:after="0" w:line="48"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For the calculation of diluted EPS, the weighted average shares outstanding is increased to include the number of additional common shares that would have been outstanding if the dilutive potential common shares had been issued. For the three and six months ended June 30, 2024, our diluted EPS weighted-average shares outstanding includes 26 million shares issuable upon the conversion of convertible preferred stock. For the three and six months ended June 30, 2023, convertible preferred stock is not included in the calculation because it would have an anti-dilutive effect due to the net losses attributable to common stockholders recognized in those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367030</wp:posOffset>
            </wp:positionV>
            <wp:extent cx="680593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69" w:name="page70"/>
    <w:bookmarkEnd w:id="69"/>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Foreclosed Property</w:t>
      </w:r>
    </w:p>
    <w:p>
      <w:pPr>
        <w:spacing w:after="0" w:line="68"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auto"/>
        </w:rPr>
        <w:t>We present foreclosed property in “Other assets” in our condensed consolidated balance sheets. We held $1.8 billion of acquired property as of June 30, 2024 and December 31, 2023.</w:t>
      </w:r>
    </w:p>
    <w:p>
      <w:pPr>
        <w:spacing w:after="0" w:line="48"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New Accounting Guidance</w:t>
      </w:r>
    </w:p>
    <w:p>
      <w:pPr>
        <w:spacing w:after="0" w:line="11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Segment Reporting</w:t>
      </w:r>
    </w:p>
    <w:p>
      <w:pPr>
        <w:spacing w:after="0" w:line="63"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 xml:space="preserve">On November 27, 2023, the Financial Accounting Standards Board (“FASB”) issued Accounting Standards Update (“ASU”) 2023-07,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(Topic 280), Improvements to Reportable Segment Disclosures</w:t>
      </w:r>
      <w:r>
        <w:rPr>
          <w:rFonts w:ascii="Arial" w:cs="Arial" w:eastAsia="Arial" w:hAnsi="Arial"/>
          <w:sz w:val="16"/>
          <w:szCs w:val="16"/>
          <w:color w:val="auto"/>
        </w:rPr>
        <w:t>. The ASU enhances disclosure of an entity’s reportable segments by requiring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about significant segment expenses, interim disclosures of certain segment information that previously were only required on an annual basis and other detailed segment-related disclosures. The ASU applies to all public entities that are required to report segment information and is effective starting in annual periods beginning after December 15, 2023 and interim periods beginning after December 15, 2024. The ASU is required to be adopted retrospectively to all prior periods presented in the financial statements. The adoption of this guidance is not expected to have a material impact on our financial statements.</w:t>
      </w:r>
    </w:p>
    <w:p>
      <w:pPr>
        <w:spacing w:after="0" w:line="103"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Income Taxes</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 xml:space="preserve">On December 14, 2023, the FASB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which enhances the required disclosures primarily related to the income tax rate reconciliation and income taxes paid. The ASU requires an entity’s income tax rate reconciliation to provide additional information for reconciling items meeting a quantitative threshold, and to disclose certain selected categories within the income tax rate reconciliation. The ASU also requires entities to disclose the amount of income taxes paid, disaggregated by federal, state and foreign taxes. The ASU is effective for annual periods beginning after December 15, 2024, though early adoption is permitted. The adoption of this guidance is not expected to have a material impact on our financial statements.</w:t>
      </w:r>
    </w:p>
    <w:p>
      <w:pPr>
        <w:spacing w:after="0" w:line="140" w:lineRule="exact"/>
        <w:rPr>
          <w:sz w:val="20"/>
          <w:szCs w:val="20"/>
          <w:color w:val="auto"/>
        </w:rPr>
      </w:pPr>
    </w:p>
    <w:p>
      <w:pPr>
        <w:ind w:right="220" w:firstLine="3"/>
        <w:spacing w:after="0" w:line="253" w:lineRule="auto"/>
        <w:tabs>
          <w:tab w:leader="none" w:pos="452" w:val="left"/>
        </w:tabs>
        <w:numPr>
          <w:ilvl w:val="0"/>
          <w:numId w:val="66"/>
        </w:numPr>
        <w:rPr>
          <w:rFonts w:ascii="Georgia" w:cs="Georgia" w:eastAsia="Georgia" w:hAnsi="Georgia"/>
          <w:sz w:val="31"/>
          <w:szCs w:val="31"/>
          <w:b w:val="1"/>
          <w:bCs w:val="1"/>
          <w:color w:val="05314D"/>
        </w:rPr>
      </w:pPr>
      <w:r>
        <w:rPr>
          <w:rFonts w:ascii="Georgia" w:cs="Georgia" w:eastAsia="Georgia" w:hAnsi="Georgia"/>
          <w:sz w:val="31"/>
          <w:szCs w:val="31"/>
          <w:b w:val="1"/>
          <w:bCs w:val="1"/>
          <w:color w:val="05314D"/>
        </w:rPr>
        <w:t>Conservatorship, Senior Preferred Stock Purchase Agreement and Related Matters</w:t>
      </w:r>
    </w:p>
    <w:p>
      <w:pPr>
        <w:spacing w:after="0" w:line="107"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Conservatorship</w:t>
      </w:r>
    </w:p>
    <w:p>
      <w:pPr>
        <w:spacing w:after="0" w:line="68" w:lineRule="exact"/>
        <w:rPr>
          <w:sz w:val="20"/>
          <w:szCs w:val="20"/>
          <w:color w:val="auto"/>
        </w:rPr>
      </w:pPr>
    </w:p>
    <w:p>
      <w:pPr>
        <w:ind w:right="600"/>
        <w:spacing w:after="0" w:line="293" w:lineRule="auto"/>
        <w:rPr>
          <w:sz w:val="20"/>
          <w:szCs w:val="20"/>
          <w:color w:val="auto"/>
        </w:rPr>
      </w:pPr>
      <w:r>
        <w:rPr>
          <w:rFonts w:ascii="Arial" w:cs="Arial" w:eastAsia="Arial" w:hAnsi="Arial"/>
          <w:sz w:val="16"/>
          <w:szCs w:val="16"/>
          <w:color w:val="auto"/>
        </w:rPr>
        <w:t>We are currently operating under conservatorship, with FHFA acting as conservator. The conservatorship and related matters significantly affect our management, business activities, financial condition and results of operations.</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Senior Preferred Stock Purchase Agreement</w:t>
      </w:r>
    </w:p>
    <w:p>
      <w:pPr>
        <w:spacing w:after="0" w:line="81"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FHFA, as conservator, entered into a senior preferred stock purchase agreement with the U.S. Department of the Treasury (“Treasury”) on our behalf in September 2008. In connection with that agreement, we issued Treasury one million shares of Variable Liquidation Preference Senior Preferred Stock, Series 2008-2, which we refer to as the “senior preferred stock,” and a warrant to purchase shares equal to 79.9% of our common stock, on a fully diluted basis, for a nominal price. This agreement also provides funding to us under certain circumstances if we have a net worth deficit. Pursuant to the senior preferred stock purchase agreement, we have received a total of $119.8 billion from Treasury as of June 30, 2024, and the amount of remaining funding available to us under the agreement is $113.9 billion. We have not received any funding from Treasury under this commitment since the first quarter of 2018. We had a positive net worth of $86.5 billion as of June 30, 2024.</w:t>
      </w:r>
    </w:p>
    <w:p>
      <w:pPr>
        <w:spacing w:after="0" w:line="43"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dividend provisions of the senior preferred stock permit us to retain increases in our net worth until our net worth exceeds the amount of adjusted total capital necessary for us to meet the capital requirements and buffers under the enterprise regulatory capital framework established by FHFA. As a result of our conservatorship status and the terms of the senior preferred stock, no amounts would be available to distribute as dividends to common or preferred stockholders (other than to Treasury as the holder of the senior preferred stock).</w:t>
      </w:r>
    </w:p>
    <w:p>
      <w:pPr>
        <w:spacing w:after="0" w:line="59"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aggregate liquidation preference of the senior preferred stock increased to $203.5 billion as of June 30, 2024 from $199.2 billion as of March 31, 2024, due to the $4.3 billion increase in our net worth in the first quarter of 2024. The aggregate liquidation preference of the senior preferred stock will further increase to $208.0 billion as of September 30, 2024, due to the $4.5 billion increase in our net worth in the second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361950</wp:posOffset>
            </wp:positionV>
            <wp:extent cx="680593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4"/>
          <w:szCs w:val="14"/>
          <w:color w:val="05314D"/>
        </w:rPr>
        <w:t>Notes to Condensed Consolidated Financial Statements | Conservatorship, Senior Preferred Stock Purchase Agreement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7122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Impact of U.S. Government Support</w:t>
      </w:r>
    </w:p>
    <w:p>
      <w:pPr>
        <w:spacing w:after="0" w:line="6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continue to rely on support from Treasury to eliminate any net worth deficits we may experience in the future, which would otherwise trigger our being placed into receivership. We are not aware of any plans of FHFA (1) to fundamentally change our business model, or (2) to reduce the aggregate amount available to or held by the company under our equity structure, which includes the senior preferred stock agreement. Based on consideration of all the relevant conditions and events affecting our operations, including our reliance on the U.S. government, we continue to operate as a going concern and in accordance with FHFA’s provision of authority.</w:t>
      </w:r>
    </w:p>
    <w:p>
      <w:pPr>
        <w:spacing w:after="0" w:line="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Related Parties</w:t>
      </w:r>
    </w:p>
    <w:p>
      <w:pPr>
        <w:spacing w:after="0" w:line="107"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Because Treasury holds a warrant to purchase shares of Fannie Mae common stock equal to 79.9% of the total number of shares of Fannie Mae common stock, we and Treasury are deemed related parties. As of June 30, 2024, Treasury held an investment in our senior preferred stock with an aggregate liquidation preference of $203.5 billion.</w:t>
      </w:r>
    </w:p>
    <w:p>
      <w:pPr>
        <w:spacing w:after="0" w:line="32"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FHFA’s control of both Fannie Mae and Freddie Mac has caused Fannie Mae, FHFA and Freddie Mac to be deemed related parties. Additionally, Fannie Mae and Freddie Mac jointly own Common Securitization Solutions, LLC (“CSS”), a limited liability company created to operate a common securitization platform; as a result, CSS is deemed a related party. CSS operates as a separate company from us and Freddie Mac, with all funding and limited administrative support services and other resources provided to it by us and Freddie Mac.</w:t>
      </w:r>
    </w:p>
    <w:p>
      <w:pPr>
        <w:spacing w:after="0" w:line="33"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In the ordinary course of business, Fannie Mae may purchase and sell securities issued by Treasury and Freddie Mac in the capital markets. Some of the structured securities we issue are backed in whole or in part by Freddie Mac securities. Fannie Mae and Freddie Mac each have agreed to indemnify the other party for losses caused by: its failure to meet its payment or other specified obligations under the trust agreements pursuant to which the underlying resecuritized securities were issued; its failure to meet its obligations under the customer services agreement; its violations of laws; or with respect to material misstatements or omissions in offering documents, ongoing disclosures and materials relating to the underlying resecuritized securities. We also make regular income tax payments to and receive tax refunds from the Internal Revenue Service (“IRS”), a bureau of Treasury.</w:t>
      </w:r>
    </w:p>
    <w:p>
      <w:pPr>
        <w:spacing w:after="0" w:line="41"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The following table provides the income statement impact of our related party transactions for the periods presented in addition to the associated liability at period end. The associated liability represents amounts accrued with respect to the related party transactions that have not yet been paid to the applicable related parties</w:t>
      </w:r>
      <w:r>
        <w:rPr>
          <w:rFonts w:ascii="Arial" w:cs="Arial" w:eastAsia="Arial" w:hAnsi="Arial"/>
          <w:sz w:val="16"/>
          <w:szCs w:val="16"/>
          <w:color w:val="0070C0"/>
        </w:rPr>
        <w:t>.</w:t>
      </w:r>
      <w:r>
        <w:rPr>
          <w:rFonts w:ascii="Arial" w:cs="Arial" w:eastAsia="Arial" w:hAnsi="Arial"/>
          <w:sz w:val="16"/>
          <w:szCs w:val="16"/>
          <w:color w:val="auto"/>
        </w:rPr>
        <w:t xml:space="preserve"> In addition to the impact described in the table below, our investment in CSS, which is accounted for using the equity method, is classified as “Other assets” in our condensed consolidated balance sheets. We contributed $16 million to CSS for the three months ended June 30, 2024 and 2023. We contributed $38 million and $42 million for the six months ended June 30, 2024 and 2023, respectively.</w:t>
      </w:r>
    </w:p>
    <w:p>
      <w:pPr>
        <w:spacing w:after="0" w:line="261" w:lineRule="exact"/>
        <w:rPr>
          <w:sz w:val="20"/>
          <w:szCs w:val="20"/>
          <w:color w:val="auto"/>
        </w:rPr>
      </w:pPr>
    </w:p>
    <w:tbl>
      <w:tblPr>
        <w:tblLayout w:type="fixed"/>
        <w:tblInd w:w="380" w:type="dxa"/>
        <w:tblCellMar>
          <w:top w:w="0" w:type="dxa"/>
          <w:left w:w="0" w:type="dxa"/>
          <w:bottom w:w="0" w:type="dxa"/>
          <w:right w:w="0" w:type="dxa"/>
        </w:tblCellMar>
      </w:tblPr>
      <w:tr>
        <w:trPr>
          <w:trHeight w:val="172"/>
        </w:trPr>
        <w:tc>
          <w:tcPr>
            <w:tcW w:w="15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For the Three Months</w:t>
            </w:r>
          </w:p>
        </w:tc>
        <w:tc>
          <w:tcPr>
            <w:tcW w:w="1920" w:type="dxa"/>
            <w:vAlign w:val="bottom"/>
            <w:gridSpan w:val="2"/>
          </w:tcPr>
          <w:p>
            <w:pPr>
              <w:ind w:left="260"/>
              <w:spacing w:after="0"/>
              <w:rPr>
                <w:sz w:val="20"/>
                <w:szCs w:val="20"/>
                <w:color w:val="auto"/>
              </w:rPr>
            </w:pPr>
            <w:r>
              <w:rPr>
                <w:rFonts w:ascii="Arial" w:cs="Arial" w:eastAsia="Arial" w:hAnsi="Arial"/>
                <w:sz w:val="15"/>
                <w:szCs w:val="15"/>
                <w:b w:val="1"/>
                <w:bCs w:val="1"/>
                <w:color w:val="auto"/>
              </w:rPr>
              <w:t>For the Six Months</w:t>
            </w:r>
          </w:p>
        </w:tc>
        <w:tc>
          <w:tcPr>
            <w:tcW w:w="1680" w:type="dxa"/>
            <w:vAlign w:val="bottom"/>
          </w:tcPr>
          <w:p>
            <w:pPr>
              <w:spacing w:after="0"/>
              <w:rPr>
                <w:sz w:val="15"/>
                <w:szCs w:val="15"/>
                <w:color w:val="auto"/>
              </w:rPr>
            </w:pPr>
          </w:p>
        </w:tc>
      </w:tr>
      <w:tr>
        <w:trPr>
          <w:trHeight w:val="206"/>
        </w:trPr>
        <w:tc>
          <w:tcPr>
            <w:tcW w:w="1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20" w:type="dxa"/>
            <w:vAlign w:val="bottom"/>
          </w:tcPr>
          <w:p>
            <w:pPr>
              <w:jc w:val="center"/>
              <w:ind w:left="63"/>
              <w:spacing w:after="0"/>
              <w:rPr>
                <w:sz w:val="20"/>
                <w:szCs w:val="20"/>
                <w:color w:val="auto"/>
              </w:rPr>
            </w:pPr>
            <w:r>
              <w:rPr>
                <w:rFonts w:ascii="Arial" w:cs="Arial" w:eastAsia="Arial" w:hAnsi="Arial"/>
                <w:sz w:val="15"/>
                <w:szCs w:val="15"/>
                <w:b w:val="1"/>
                <w:bCs w:val="1"/>
                <w:color w:val="auto"/>
              </w:rPr>
              <w:t>Income Statement</w:t>
            </w:r>
          </w:p>
        </w:tc>
        <w:tc>
          <w:tcPr>
            <w:tcW w:w="200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Ended June 30,</w:t>
            </w:r>
          </w:p>
        </w:tc>
        <w:tc>
          <w:tcPr>
            <w:tcW w:w="1920" w:type="dxa"/>
            <w:vAlign w:val="bottom"/>
            <w:gridSpan w:val="2"/>
          </w:tcPr>
          <w:p>
            <w:pPr>
              <w:ind w:left="400"/>
              <w:spacing w:after="0"/>
              <w:rPr>
                <w:sz w:val="20"/>
                <w:szCs w:val="20"/>
                <w:color w:val="auto"/>
              </w:rPr>
            </w:pPr>
            <w:r>
              <w:rPr>
                <w:rFonts w:ascii="Arial" w:cs="Arial" w:eastAsia="Arial" w:hAnsi="Arial"/>
                <w:sz w:val="15"/>
                <w:szCs w:val="15"/>
                <w:b w:val="1"/>
                <w:bCs w:val="1"/>
                <w:color w:val="auto"/>
              </w:rPr>
              <w:t>Ended June 30,</w:t>
            </w:r>
          </w:p>
        </w:tc>
        <w:tc>
          <w:tcPr>
            <w:tcW w:w="1680" w:type="dxa"/>
            <w:vAlign w:val="bottom"/>
          </w:tcPr>
          <w:p>
            <w:pPr>
              <w:jc w:val="center"/>
              <w:ind w:left="43"/>
              <w:spacing w:after="0"/>
              <w:rPr>
                <w:sz w:val="20"/>
                <w:szCs w:val="20"/>
                <w:color w:val="auto"/>
              </w:rPr>
            </w:pPr>
            <w:r>
              <w:rPr>
                <w:rFonts w:ascii="Arial" w:cs="Arial" w:eastAsia="Arial" w:hAnsi="Arial"/>
                <w:sz w:val="15"/>
                <w:szCs w:val="15"/>
                <w:b w:val="1"/>
                <w:bCs w:val="1"/>
                <w:color w:val="auto"/>
              </w:rPr>
              <w:t>Other Liabilities as of</w:t>
            </w:r>
          </w:p>
        </w:tc>
      </w:tr>
      <w:tr>
        <w:trPr>
          <w:trHeight w:val="233"/>
        </w:trPr>
        <w:tc>
          <w:tcPr>
            <w:tcW w:w="1540" w:type="dxa"/>
            <w:vAlign w:val="bottom"/>
          </w:tcPr>
          <w:p>
            <w:pPr>
              <w:spacing w:after="0"/>
              <w:rPr>
                <w:sz w:val="20"/>
                <w:szCs w:val="20"/>
                <w:color w:val="auto"/>
              </w:rPr>
            </w:pPr>
            <w:r>
              <w:rPr>
                <w:rFonts w:ascii="Arial" w:cs="Arial" w:eastAsia="Arial" w:hAnsi="Arial"/>
                <w:sz w:val="15"/>
                <w:szCs w:val="15"/>
                <w:b w:val="1"/>
                <w:bCs w:val="1"/>
                <w:color w:val="auto"/>
              </w:rPr>
              <w:t>Related Party</w:t>
            </w:r>
          </w:p>
        </w:tc>
        <w:tc>
          <w:tcPr>
            <w:tcW w:w="1580" w:type="dxa"/>
            <w:vAlign w:val="bottom"/>
          </w:tcPr>
          <w:p>
            <w:pPr>
              <w:ind w:left="540"/>
              <w:spacing w:after="0"/>
              <w:rPr>
                <w:sz w:val="20"/>
                <w:szCs w:val="20"/>
                <w:color w:val="auto"/>
              </w:rPr>
            </w:pPr>
            <w:r>
              <w:rPr>
                <w:rFonts w:ascii="Arial" w:cs="Arial" w:eastAsia="Arial" w:hAnsi="Arial"/>
                <w:sz w:val="15"/>
                <w:szCs w:val="15"/>
                <w:b w:val="1"/>
                <w:bCs w:val="1"/>
                <w:color w:val="auto"/>
              </w:rPr>
              <w:t>Activity</w:t>
            </w:r>
          </w:p>
        </w:tc>
        <w:tc>
          <w:tcPr>
            <w:tcW w:w="2120" w:type="dxa"/>
            <w:vAlign w:val="bottom"/>
          </w:tcPr>
          <w:p>
            <w:pPr>
              <w:jc w:val="center"/>
              <w:ind w:left="43"/>
              <w:spacing w:after="0"/>
              <w:rPr>
                <w:sz w:val="20"/>
                <w:szCs w:val="20"/>
                <w:color w:val="auto"/>
              </w:rPr>
            </w:pPr>
            <w:r>
              <w:rPr>
                <w:rFonts w:ascii="Arial" w:cs="Arial" w:eastAsia="Arial" w:hAnsi="Arial"/>
                <w:sz w:val="15"/>
                <w:szCs w:val="15"/>
                <w:b w:val="1"/>
                <w:bCs w:val="1"/>
                <w:color w:val="auto"/>
              </w:rPr>
              <w:t>Classification</w:t>
            </w:r>
          </w:p>
        </w:tc>
        <w:tc>
          <w:tcPr>
            <w:tcW w:w="960" w:type="dxa"/>
            <w:vAlign w:val="bottom"/>
            <w:tcBorders>
              <w:top w:val="single" w:sz="8" w:color="2C6937"/>
            </w:tcBorders>
          </w:tcPr>
          <w:p>
            <w:pPr>
              <w:jc w:val="right"/>
              <w:ind w:right="263"/>
              <w:spacing w:after="0"/>
              <w:rPr>
                <w:sz w:val="20"/>
                <w:szCs w:val="20"/>
                <w:color w:val="auto"/>
              </w:rPr>
            </w:pPr>
            <w:r>
              <w:rPr>
                <w:rFonts w:ascii="Arial" w:cs="Arial" w:eastAsia="Arial" w:hAnsi="Arial"/>
                <w:sz w:val="15"/>
                <w:szCs w:val="15"/>
                <w:b w:val="1"/>
                <w:bCs w:val="1"/>
                <w:color w:val="auto"/>
              </w:rPr>
              <w:t>2024</w:t>
            </w:r>
          </w:p>
        </w:tc>
        <w:tc>
          <w:tcPr>
            <w:tcW w:w="960" w:type="dxa"/>
            <w:vAlign w:val="bottom"/>
            <w:tcBorders>
              <w:top w:val="single" w:sz="8" w:color="2C6937"/>
            </w:tcBorders>
          </w:tcPr>
          <w:p>
            <w:pPr>
              <w:jc w:val="right"/>
              <w:ind w:right="223"/>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20"/>
                <w:szCs w:val="20"/>
                <w:color w:val="auto"/>
              </w:rPr>
            </w:pPr>
          </w:p>
        </w:tc>
        <w:tc>
          <w:tcPr>
            <w:tcW w:w="960" w:type="dxa"/>
            <w:vAlign w:val="bottom"/>
            <w:tcBorders>
              <w:top w:val="single" w:sz="8" w:color="2C6937"/>
            </w:tcBorders>
          </w:tcPr>
          <w:p>
            <w:pPr>
              <w:ind w:left="280"/>
              <w:spacing w:after="0"/>
              <w:rPr>
                <w:sz w:val="20"/>
                <w:szCs w:val="20"/>
                <w:color w:val="auto"/>
              </w:rPr>
            </w:pPr>
            <w:r>
              <w:rPr>
                <w:rFonts w:ascii="Arial" w:cs="Arial" w:eastAsia="Arial" w:hAnsi="Arial"/>
                <w:sz w:val="15"/>
                <w:szCs w:val="15"/>
                <w:b w:val="1"/>
                <w:bCs w:val="1"/>
                <w:color w:val="auto"/>
              </w:rPr>
              <w:t>2024</w:t>
            </w:r>
          </w:p>
        </w:tc>
        <w:tc>
          <w:tcPr>
            <w:tcW w:w="960" w:type="dxa"/>
            <w:vAlign w:val="bottom"/>
            <w:tcBorders>
              <w:top w:val="single" w:sz="8" w:color="2C6937"/>
            </w:tcBorders>
          </w:tcPr>
          <w:p>
            <w:pPr>
              <w:jc w:val="right"/>
              <w:ind w:right="203"/>
              <w:spacing w:after="0"/>
              <w:rPr>
                <w:sz w:val="20"/>
                <w:szCs w:val="20"/>
                <w:color w:val="auto"/>
              </w:rPr>
            </w:pPr>
            <w:r>
              <w:rPr>
                <w:rFonts w:ascii="Arial" w:cs="Arial" w:eastAsia="Arial" w:hAnsi="Arial"/>
                <w:sz w:val="15"/>
                <w:szCs w:val="15"/>
                <w:b w:val="1"/>
                <w:bCs w:val="1"/>
                <w:color w:val="auto"/>
              </w:rPr>
              <w:t>2023</w:t>
            </w:r>
          </w:p>
        </w:tc>
        <w:tc>
          <w:tcPr>
            <w:tcW w:w="1680" w:type="dxa"/>
            <w:vAlign w:val="bottom"/>
          </w:tcPr>
          <w:p>
            <w:pPr>
              <w:jc w:val="center"/>
              <w:ind w:left="43"/>
              <w:spacing w:after="0"/>
              <w:rPr>
                <w:sz w:val="20"/>
                <w:szCs w:val="20"/>
                <w:color w:val="auto"/>
              </w:rPr>
            </w:pPr>
            <w:r>
              <w:rPr>
                <w:rFonts w:ascii="Arial" w:cs="Arial" w:eastAsia="Arial" w:hAnsi="Arial"/>
                <w:sz w:val="15"/>
                <w:szCs w:val="15"/>
                <w:b w:val="1"/>
                <w:bCs w:val="1"/>
                <w:color w:val="auto"/>
              </w:rPr>
              <w:t>June 30,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386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ind w:left="7720"/>
        <w:spacing w:after="0"/>
        <w:rPr>
          <w:sz w:val="20"/>
          <w:szCs w:val="20"/>
          <w:color w:val="auto"/>
        </w:rPr>
      </w:pPr>
      <w:r>
        <w:rPr>
          <w:rFonts w:ascii="Arial" w:cs="Arial" w:eastAsia="Arial" w:hAnsi="Arial"/>
          <w:sz w:val="15"/>
          <w:szCs w:val="15"/>
          <w:b w:val="1"/>
          <w:bCs w:val="1"/>
          <w:color w:val="auto"/>
        </w:rPr>
        <w:t>(Dollars in millions)</w:t>
      </w:r>
    </w:p>
    <w:p>
      <w:pPr>
        <w:sectPr>
          <w:pgSz w:w="11900" w:h="16838" w:orient="portrait"/>
          <w:cols w:equalWidth="0" w:num="1">
            <w:col w:w="11220"/>
          </w:cols>
          <w:pgMar w:left="320" w:top="248" w:right="359" w:bottom="1440" w:gutter="0" w:footer="0" w:header="0"/>
        </w:sectPr>
      </w:pPr>
    </w:p>
    <w:p>
      <w:pPr>
        <w:spacing w:after="0" w:line="4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Treasury</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Treasury</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5"/>
          <w:szCs w:val="15"/>
          <w:color w:val="auto"/>
        </w:rPr>
        <w:t>FHFA</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Treasury &amp;</w:t>
      </w:r>
    </w:p>
    <w:p>
      <w:pPr>
        <w:ind w:left="460"/>
        <w:spacing w:after="0"/>
        <w:rPr>
          <w:sz w:val="20"/>
          <w:szCs w:val="20"/>
          <w:color w:val="auto"/>
        </w:rPr>
      </w:pPr>
      <w:r>
        <w:rPr>
          <w:rFonts w:ascii="Arial" w:cs="Arial" w:eastAsia="Arial" w:hAnsi="Arial"/>
          <w:sz w:val="15"/>
          <w:szCs w:val="15"/>
          <w:color w:val="auto"/>
        </w:rPr>
        <w:t>Freddie Mac</w:t>
      </w:r>
    </w:p>
    <w:p>
      <w:pPr>
        <w:spacing w:after="0" w:line="9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CSS &amp;</w:t>
      </w:r>
    </w:p>
    <w:p>
      <w:pPr>
        <w:ind w:left="460"/>
        <w:spacing w:after="0"/>
        <w:rPr>
          <w:sz w:val="20"/>
          <w:szCs w:val="20"/>
          <w:color w:val="auto"/>
        </w:rPr>
      </w:pPr>
      <w:r>
        <w:rPr>
          <w:rFonts w:ascii="Arial" w:cs="Arial" w:eastAsia="Arial" w:hAnsi="Arial"/>
          <w:sz w:val="15"/>
          <w:szCs w:val="15"/>
          <w:color w:val="auto"/>
        </w:rPr>
        <w:t>Freddie Mac</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TCCA fees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Treasury’s Capital</w:t>
      </w:r>
    </w:p>
    <w:p>
      <w:pPr>
        <w:spacing w:after="0"/>
        <w:rPr>
          <w:sz w:val="20"/>
          <w:szCs w:val="20"/>
          <w:color w:val="auto"/>
        </w:rPr>
      </w:pPr>
      <w:r>
        <w:rPr>
          <w:rFonts w:ascii="Arial" w:cs="Arial" w:eastAsia="Arial" w:hAnsi="Arial"/>
          <w:sz w:val="15"/>
          <w:szCs w:val="15"/>
          <w:color w:val="auto"/>
        </w:rPr>
        <w:t>Magnet Fund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FHFA regulatory</w:t>
      </w:r>
    </w:p>
    <w:p>
      <w:pPr>
        <w:spacing w:after="0"/>
        <w:rPr>
          <w:sz w:val="20"/>
          <w:szCs w:val="20"/>
          <w:color w:val="auto"/>
        </w:rPr>
      </w:pPr>
      <w:r>
        <w:rPr>
          <w:rFonts w:ascii="Arial" w:cs="Arial" w:eastAsia="Arial" w:hAnsi="Arial"/>
          <w:sz w:val="15"/>
          <w:szCs w:val="15"/>
          <w:color w:val="auto"/>
        </w:rPr>
        <w:t>assessment fees</w:t>
      </w:r>
    </w:p>
    <w:p>
      <w:pPr>
        <w:spacing w:after="0" w:line="20"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Making Home Affordable Program reimbursements</w:t>
      </w:r>
    </w:p>
    <w:p>
      <w:pPr>
        <w:jc w:val="both"/>
        <w:ind w:right="320"/>
        <w:spacing w:after="0" w:line="238" w:lineRule="auto"/>
        <w:rPr>
          <w:sz w:val="20"/>
          <w:szCs w:val="20"/>
          <w:color w:val="auto"/>
        </w:rPr>
      </w:pPr>
      <w:r>
        <w:rPr>
          <w:rFonts w:ascii="Arial" w:cs="Arial" w:eastAsia="Arial" w:hAnsi="Arial"/>
          <w:sz w:val="15"/>
          <w:szCs w:val="15"/>
          <w:color w:val="auto"/>
        </w:rPr>
        <w:t>Net operating losses associated with our investment in CSS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1760" w:type="dxa"/>
            <w:vAlign w:val="bottom"/>
          </w:tcPr>
          <w:p>
            <w:pPr>
              <w:jc w:val="center"/>
              <w:ind w:right="3"/>
              <w:spacing w:after="0"/>
              <w:rPr>
                <w:sz w:val="20"/>
                <w:szCs w:val="20"/>
                <w:color w:val="auto"/>
              </w:rPr>
            </w:pPr>
            <w:r>
              <w:rPr>
                <w:rFonts w:ascii="Arial" w:cs="Arial" w:eastAsia="Arial" w:hAnsi="Arial"/>
                <w:sz w:val="15"/>
                <w:szCs w:val="15"/>
                <w:color w:val="auto"/>
                <w:w w:val="98"/>
              </w:rPr>
              <w:t>TCCA fees</w:t>
            </w:r>
            <w:r>
              <w:rPr>
                <w:rFonts w:ascii="Arial" w:cs="Arial" w:eastAsia="Arial" w:hAnsi="Arial"/>
                <w:sz w:val="20"/>
                <w:szCs w:val="20"/>
                <w:color w:val="auto"/>
                <w:w w:val="98"/>
                <w:vertAlign w:val="superscript"/>
              </w:rPr>
              <w:t>(1)</w:t>
            </w:r>
          </w:p>
        </w:tc>
        <w:tc>
          <w:tcPr>
            <w:tcW w:w="42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859</w:t>
            </w:r>
          </w:p>
        </w:tc>
        <w:tc>
          <w:tcPr>
            <w:tcW w:w="42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23"/>
              <w:spacing w:after="0"/>
              <w:rPr>
                <w:sz w:val="20"/>
                <w:szCs w:val="20"/>
                <w:color w:val="auto"/>
              </w:rPr>
            </w:pPr>
            <w:r>
              <w:rPr>
                <w:rFonts w:ascii="Arial" w:cs="Arial" w:eastAsia="Arial" w:hAnsi="Arial"/>
                <w:sz w:val="15"/>
                <w:szCs w:val="15"/>
                <w:color w:val="auto"/>
              </w:rPr>
              <w:t>856</w:t>
            </w:r>
          </w:p>
        </w:tc>
        <w:tc>
          <w:tcPr>
            <w:tcW w:w="34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1,719</w:t>
            </w:r>
          </w:p>
        </w:tc>
        <w:tc>
          <w:tcPr>
            <w:tcW w:w="3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1,711</w:t>
            </w:r>
          </w:p>
        </w:tc>
        <w:tc>
          <w:tcPr>
            <w:tcW w:w="740" w:type="dxa"/>
            <w:vAlign w:val="bottom"/>
          </w:tcPr>
          <w:p>
            <w:pPr>
              <w:jc w:val="right"/>
              <w:ind w:right="50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859</w:t>
            </w:r>
          </w:p>
        </w:tc>
        <w:tc>
          <w:tcPr>
            <w:tcW w:w="0" w:type="dxa"/>
            <w:vAlign w:val="bottom"/>
          </w:tcPr>
          <w:p>
            <w:pPr>
              <w:spacing w:after="0"/>
              <w:rPr>
                <w:sz w:val="1"/>
                <w:szCs w:val="1"/>
                <w:color w:val="auto"/>
              </w:rPr>
            </w:pPr>
          </w:p>
        </w:tc>
      </w:tr>
      <w:tr>
        <w:trPr>
          <w:trHeight w:val="212"/>
        </w:trPr>
        <w:tc>
          <w:tcPr>
            <w:tcW w:w="1760" w:type="dxa"/>
            <w:vAlign w:val="bottom"/>
          </w:tcPr>
          <w:p>
            <w:pPr>
              <w:jc w:val="center"/>
              <w:ind w:right="3"/>
              <w:spacing w:after="0"/>
              <w:rPr>
                <w:sz w:val="20"/>
                <w:szCs w:val="20"/>
                <w:color w:val="auto"/>
              </w:rPr>
            </w:pPr>
            <w:r>
              <w:rPr>
                <w:rFonts w:ascii="Arial" w:cs="Arial" w:eastAsia="Arial" w:hAnsi="Arial"/>
                <w:sz w:val="15"/>
                <w:szCs w:val="15"/>
                <w:color w:val="auto"/>
              </w:rPr>
              <w:t>Other expenses, net</w:t>
            </w:r>
          </w:p>
        </w:tc>
        <w:tc>
          <w:tcPr>
            <w:tcW w:w="420" w:type="dxa"/>
            <w:vAlign w:val="bottom"/>
          </w:tcPr>
          <w:p>
            <w:pPr>
              <w:spacing w:after="0"/>
              <w:rPr>
                <w:sz w:val="18"/>
                <w:szCs w:val="18"/>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14</w:t>
            </w:r>
          </w:p>
        </w:tc>
        <w:tc>
          <w:tcPr>
            <w:tcW w:w="420" w:type="dxa"/>
            <w:vAlign w:val="bottom"/>
          </w:tcPr>
          <w:p>
            <w:pPr>
              <w:spacing w:after="0"/>
              <w:rPr>
                <w:sz w:val="18"/>
                <w:szCs w:val="18"/>
                <w:color w:val="auto"/>
              </w:rPr>
            </w:pPr>
          </w:p>
        </w:tc>
        <w:tc>
          <w:tcPr>
            <w:tcW w:w="600" w:type="dxa"/>
            <w:vAlign w:val="bottom"/>
            <w:vMerge w:val="restart"/>
          </w:tcPr>
          <w:p>
            <w:pPr>
              <w:jc w:val="right"/>
              <w:ind w:right="23"/>
              <w:spacing w:after="0"/>
              <w:rPr>
                <w:sz w:val="20"/>
                <w:szCs w:val="20"/>
                <w:color w:val="auto"/>
              </w:rPr>
            </w:pPr>
            <w:r>
              <w:rPr>
                <w:rFonts w:ascii="Arial" w:cs="Arial" w:eastAsia="Arial" w:hAnsi="Arial"/>
                <w:sz w:val="15"/>
                <w:szCs w:val="15"/>
                <w:color w:val="auto"/>
              </w:rPr>
              <w:t>16</w:t>
            </w:r>
          </w:p>
        </w:tc>
        <w:tc>
          <w:tcPr>
            <w:tcW w:w="340" w:type="dxa"/>
            <w:vAlign w:val="bottom"/>
          </w:tcPr>
          <w:p>
            <w:pPr>
              <w:spacing w:after="0"/>
              <w:rPr>
                <w:sz w:val="18"/>
                <w:szCs w:val="18"/>
                <w:color w:val="auto"/>
              </w:rPr>
            </w:pPr>
          </w:p>
        </w:tc>
        <w:tc>
          <w:tcPr>
            <w:tcW w:w="660" w:type="dxa"/>
            <w:vAlign w:val="bottom"/>
            <w:vMerge w:val="restart"/>
          </w:tcPr>
          <w:p>
            <w:pPr>
              <w:jc w:val="right"/>
              <w:ind w:right="23"/>
              <w:spacing w:after="0"/>
              <w:rPr>
                <w:sz w:val="20"/>
                <w:szCs w:val="20"/>
                <w:color w:val="auto"/>
              </w:rPr>
            </w:pPr>
            <w:r>
              <w:rPr>
                <w:rFonts w:ascii="Arial" w:cs="Arial" w:eastAsia="Arial" w:hAnsi="Arial"/>
                <w:sz w:val="15"/>
                <w:szCs w:val="15"/>
                <w:color w:val="auto"/>
              </w:rPr>
              <w:t>25</w:t>
            </w: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27</w:t>
            </w:r>
          </w:p>
        </w:tc>
        <w:tc>
          <w:tcPr>
            <w:tcW w:w="7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77"/>
        </w:trPr>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60" w:type="dxa"/>
            <w:vAlign w:val="bottom"/>
          </w:tcPr>
          <w:p>
            <w:pPr>
              <w:jc w:val="center"/>
              <w:spacing w:after="0" w:line="157" w:lineRule="exact"/>
              <w:rPr>
                <w:sz w:val="20"/>
                <w:szCs w:val="20"/>
                <w:color w:val="auto"/>
              </w:rPr>
            </w:pPr>
            <w:r>
              <w:rPr>
                <w:rFonts w:ascii="Arial" w:cs="Arial" w:eastAsia="Arial" w:hAnsi="Arial"/>
                <w:sz w:val="15"/>
                <w:szCs w:val="15"/>
                <w:color w:val="auto"/>
              </w:rPr>
              <w:t>Other administrative</w:t>
            </w:r>
          </w:p>
        </w:tc>
        <w:tc>
          <w:tcPr>
            <w:tcW w:w="420" w:type="dxa"/>
            <w:vAlign w:val="bottom"/>
          </w:tcPr>
          <w:p>
            <w:pPr>
              <w:spacing w:after="0"/>
              <w:rPr>
                <w:sz w:val="13"/>
                <w:szCs w:val="13"/>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40</w:t>
            </w:r>
          </w:p>
        </w:tc>
        <w:tc>
          <w:tcPr>
            <w:tcW w:w="420" w:type="dxa"/>
            <w:vAlign w:val="bottom"/>
          </w:tcPr>
          <w:p>
            <w:pPr>
              <w:spacing w:after="0"/>
              <w:rPr>
                <w:sz w:val="13"/>
                <w:szCs w:val="13"/>
                <w:color w:val="auto"/>
              </w:rPr>
            </w:pPr>
          </w:p>
        </w:tc>
        <w:tc>
          <w:tcPr>
            <w:tcW w:w="600" w:type="dxa"/>
            <w:vAlign w:val="bottom"/>
            <w:vMerge w:val="restart"/>
          </w:tcPr>
          <w:p>
            <w:pPr>
              <w:jc w:val="right"/>
              <w:ind w:right="23"/>
              <w:spacing w:after="0"/>
              <w:rPr>
                <w:sz w:val="20"/>
                <w:szCs w:val="20"/>
                <w:color w:val="auto"/>
              </w:rPr>
            </w:pPr>
            <w:r>
              <w:rPr>
                <w:rFonts w:ascii="Arial" w:cs="Arial" w:eastAsia="Arial" w:hAnsi="Arial"/>
                <w:sz w:val="15"/>
                <w:szCs w:val="15"/>
                <w:color w:val="auto"/>
              </w:rPr>
              <w:t>40</w:t>
            </w:r>
          </w:p>
        </w:tc>
        <w:tc>
          <w:tcPr>
            <w:tcW w:w="340" w:type="dxa"/>
            <w:vAlign w:val="bottom"/>
          </w:tcPr>
          <w:p>
            <w:pPr>
              <w:spacing w:after="0"/>
              <w:rPr>
                <w:sz w:val="13"/>
                <w:szCs w:val="13"/>
                <w:color w:val="auto"/>
              </w:rPr>
            </w:pPr>
          </w:p>
        </w:tc>
        <w:tc>
          <w:tcPr>
            <w:tcW w:w="660" w:type="dxa"/>
            <w:vAlign w:val="bottom"/>
            <w:vMerge w:val="restart"/>
          </w:tcPr>
          <w:p>
            <w:pPr>
              <w:jc w:val="right"/>
              <w:ind w:right="23"/>
              <w:spacing w:after="0"/>
              <w:rPr>
                <w:sz w:val="20"/>
                <w:szCs w:val="20"/>
                <w:color w:val="auto"/>
              </w:rPr>
            </w:pPr>
            <w:r>
              <w:rPr>
                <w:rFonts w:ascii="Arial" w:cs="Arial" w:eastAsia="Arial" w:hAnsi="Arial"/>
                <w:sz w:val="15"/>
                <w:szCs w:val="15"/>
                <w:color w:val="auto"/>
              </w:rPr>
              <w:t>80</w:t>
            </w:r>
          </w:p>
        </w:tc>
        <w:tc>
          <w:tcPr>
            <w:tcW w:w="3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79</w:t>
            </w:r>
          </w:p>
        </w:tc>
        <w:tc>
          <w:tcPr>
            <w:tcW w:w="7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1760" w:type="dxa"/>
            <w:vAlign w:val="bottom"/>
          </w:tcPr>
          <w:p>
            <w:pPr>
              <w:jc w:val="center"/>
              <w:spacing w:after="0"/>
              <w:rPr>
                <w:sz w:val="20"/>
                <w:szCs w:val="20"/>
                <w:color w:val="auto"/>
              </w:rPr>
            </w:pPr>
            <w:r>
              <w:rPr>
                <w:rFonts w:ascii="Arial" w:cs="Arial" w:eastAsia="Arial" w:hAnsi="Arial"/>
                <w:sz w:val="15"/>
                <w:szCs w:val="15"/>
                <w:color w:val="auto"/>
              </w:rPr>
              <w:t>expenses</w:t>
            </w:r>
          </w:p>
        </w:tc>
        <w:tc>
          <w:tcPr>
            <w:tcW w:w="4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760" w:type="dxa"/>
            <w:vAlign w:val="bottom"/>
          </w:tcPr>
          <w:p>
            <w:pPr>
              <w:jc w:val="center"/>
              <w:ind w:right="3"/>
              <w:spacing w:after="0"/>
              <w:rPr>
                <w:sz w:val="20"/>
                <w:szCs w:val="20"/>
                <w:color w:val="auto"/>
              </w:rPr>
            </w:pPr>
            <w:r>
              <w:rPr>
                <w:rFonts w:ascii="Arial" w:cs="Arial" w:eastAsia="Arial" w:hAnsi="Arial"/>
                <w:sz w:val="15"/>
                <w:szCs w:val="15"/>
                <w:color w:val="auto"/>
              </w:rPr>
              <w:t>Administrative expenses</w:t>
            </w:r>
          </w:p>
        </w:tc>
        <w:tc>
          <w:tcPr>
            <w:tcW w:w="420" w:type="dxa"/>
            <w:vAlign w:val="bottom"/>
          </w:tcPr>
          <w:p>
            <w:pPr>
              <w:spacing w:after="0"/>
              <w:rPr>
                <w:sz w:val="24"/>
                <w:szCs w:val="24"/>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4"/>
                <w:szCs w:val="24"/>
                <w:color w:val="auto"/>
              </w:rPr>
            </w:pPr>
          </w:p>
        </w:tc>
        <w:tc>
          <w:tcPr>
            <w:tcW w:w="600" w:type="dxa"/>
            <w:vAlign w:val="bottom"/>
            <w:vMerge w:val="restart"/>
          </w:tcPr>
          <w:p>
            <w:pPr>
              <w:jc w:val="right"/>
              <w:ind w:right="23"/>
              <w:spacing w:after="0"/>
              <w:rPr>
                <w:sz w:val="20"/>
                <w:szCs w:val="20"/>
                <w:color w:val="auto"/>
              </w:rPr>
            </w:pPr>
            <w:r>
              <w:rPr>
                <w:rFonts w:ascii="Arial" w:cs="Arial" w:eastAsia="Arial" w:hAnsi="Arial"/>
                <w:sz w:val="15"/>
                <w:szCs w:val="15"/>
                <w:color w:val="auto"/>
              </w:rPr>
              <w:t>3</w:t>
            </w:r>
          </w:p>
        </w:tc>
        <w:tc>
          <w:tcPr>
            <w:tcW w:w="340" w:type="dxa"/>
            <w:vAlign w:val="bottom"/>
          </w:tcPr>
          <w:p>
            <w:pPr>
              <w:spacing w:after="0"/>
              <w:rPr>
                <w:sz w:val="24"/>
                <w:szCs w:val="24"/>
                <w:color w:val="auto"/>
              </w:rPr>
            </w:pPr>
          </w:p>
        </w:tc>
        <w:tc>
          <w:tcPr>
            <w:tcW w:w="66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660" w:type="dxa"/>
            <w:vAlign w:val="bottom"/>
            <w:vMerge w:val="restart"/>
          </w:tcPr>
          <w:p>
            <w:pPr>
              <w:jc w:val="right"/>
              <w:ind w:right="23"/>
              <w:spacing w:after="0"/>
              <w:rPr>
                <w:sz w:val="20"/>
                <w:szCs w:val="20"/>
                <w:color w:val="auto"/>
              </w:rPr>
            </w:pPr>
            <w:r>
              <w:rPr>
                <w:rFonts w:ascii="Arial" w:cs="Arial" w:eastAsia="Arial" w:hAnsi="Arial"/>
                <w:sz w:val="15"/>
                <w:szCs w:val="15"/>
                <w:color w:val="auto"/>
              </w:rPr>
              <w:t>6</w:t>
            </w:r>
          </w:p>
        </w:tc>
        <w:tc>
          <w:tcPr>
            <w:tcW w:w="74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77"/>
        </w:trPr>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1"/>
        </w:trPr>
        <w:tc>
          <w:tcPr>
            <w:tcW w:w="1760" w:type="dxa"/>
            <w:vAlign w:val="bottom"/>
          </w:tcPr>
          <w:p>
            <w:pPr>
              <w:jc w:val="center"/>
              <w:ind w:right="3"/>
              <w:spacing w:after="0"/>
              <w:rPr>
                <w:sz w:val="20"/>
                <w:szCs w:val="20"/>
                <w:color w:val="auto"/>
              </w:rPr>
            </w:pPr>
            <w:r>
              <w:rPr>
                <w:rFonts w:ascii="Arial" w:cs="Arial" w:eastAsia="Arial" w:hAnsi="Arial"/>
                <w:sz w:val="15"/>
                <w:szCs w:val="15"/>
                <w:color w:val="auto"/>
              </w:rPr>
              <w:t>Other expenses, net</w:t>
            </w:r>
          </w:p>
        </w:tc>
        <w:tc>
          <w:tcPr>
            <w:tcW w:w="420" w:type="dxa"/>
            <w:vAlign w:val="bottom"/>
          </w:tcPr>
          <w:p>
            <w:pPr>
              <w:spacing w:after="0"/>
              <w:rPr>
                <w:sz w:val="24"/>
                <w:szCs w:val="24"/>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16</w:t>
            </w:r>
          </w:p>
        </w:tc>
        <w:tc>
          <w:tcPr>
            <w:tcW w:w="420" w:type="dxa"/>
            <w:vAlign w:val="bottom"/>
          </w:tcPr>
          <w:p>
            <w:pPr>
              <w:spacing w:after="0"/>
              <w:rPr>
                <w:sz w:val="24"/>
                <w:szCs w:val="24"/>
                <w:color w:val="auto"/>
              </w:rPr>
            </w:pPr>
          </w:p>
        </w:tc>
        <w:tc>
          <w:tcPr>
            <w:tcW w:w="600" w:type="dxa"/>
            <w:vAlign w:val="bottom"/>
            <w:vMerge w:val="restart"/>
          </w:tcPr>
          <w:p>
            <w:pPr>
              <w:jc w:val="right"/>
              <w:ind w:right="23"/>
              <w:spacing w:after="0"/>
              <w:rPr>
                <w:sz w:val="20"/>
                <w:szCs w:val="20"/>
                <w:color w:val="auto"/>
              </w:rPr>
            </w:pPr>
            <w:r>
              <w:rPr>
                <w:rFonts w:ascii="Arial" w:cs="Arial" w:eastAsia="Arial" w:hAnsi="Arial"/>
                <w:sz w:val="15"/>
                <w:szCs w:val="15"/>
                <w:color w:val="auto"/>
              </w:rPr>
              <w:t>16</w:t>
            </w:r>
          </w:p>
        </w:tc>
        <w:tc>
          <w:tcPr>
            <w:tcW w:w="340" w:type="dxa"/>
            <w:vAlign w:val="bottom"/>
          </w:tcPr>
          <w:p>
            <w:pPr>
              <w:spacing w:after="0"/>
              <w:rPr>
                <w:sz w:val="24"/>
                <w:szCs w:val="24"/>
                <w:color w:val="auto"/>
              </w:rPr>
            </w:pPr>
          </w:p>
        </w:tc>
        <w:tc>
          <w:tcPr>
            <w:tcW w:w="660" w:type="dxa"/>
            <w:vAlign w:val="bottom"/>
            <w:vMerge w:val="restart"/>
          </w:tcPr>
          <w:p>
            <w:pPr>
              <w:jc w:val="right"/>
              <w:ind w:right="23"/>
              <w:spacing w:after="0"/>
              <w:rPr>
                <w:sz w:val="20"/>
                <w:szCs w:val="20"/>
                <w:color w:val="auto"/>
              </w:rPr>
            </w:pPr>
            <w:r>
              <w:rPr>
                <w:rFonts w:ascii="Arial" w:cs="Arial" w:eastAsia="Arial" w:hAnsi="Arial"/>
                <w:sz w:val="15"/>
                <w:szCs w:val="15"/>
                <w:color w:val="auto"/>
              </w:rPr>
              <w:t>38</w:t>
            </w:r>
          </w:p>
        </w:tc>
        <w:tc>
          <w:tcPr>
            <w:tcW w:w="36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42</w:t>
            </w:r>
          </w:p>
        </w:tc>
        <w:tc>
          <w:tcPr>
            <w:tcW w:w="74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ectPr>
          <w:pgSz w:w="11900" w:h="16838" w:orient="portrait"/>
          <w:cols w:equalWidth="0" w:num="3">
            <w:col w:w="1300" w:space="560"/>
            <w:col w:w="1740" w:space="180"/>
            <w:col w:w="7440"/>
          </w:cols>
          <w:pgMar w:left="320" w:top="248" w:right="359" w:bottom="1440" w:gutter="0" w:footer="0" w:header="0"/>
          <w:type w:val="continuous"/>
        </w:sectPr>
      </w:pPr>
    </w:p>
    <w:p>
      <w:pPr>
        <w:ind w:left="240" w:right="280" w:hanging="237"/>
        <w:spacing w:after="0" w:line="226" w:lineRule="auto"/>
        <w:tabs>
          <w:tab w:leader="none" w:pos="233"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Consists of the portion of our single-family guaranty fees that is paid to Treasury pursuant to the TCCA. The resulting fee revenue and expense are recorded in “Interest income: Mortgage loans” and “TCCA fees,” respectively, in our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type w:val="continuous"/>
        </w:sectPr>
      </w:pPr>
    </w:p>
    <w:bookmarkStart w:id="71" w:name="page72"/>
    <w:bookmarkEnd w:id="71"/>
    <w:p>
      <w:pPr>
        <w:ind w:left="4640"/>
        <w:spacing w:after="0"/>
        <w:rPr>
          <w:sz w:val="20"/>
          <w:szCs w:val="20"/>
          <w:color w:val="auto"/>
        </w:rPr>
      </w:pPr>
      <w:r>
        <w:rPr>
          <w:rFonts w:ascii="Arial" w:cs="Arial" w:eastAsia="Arial" w:hAnsi="Arial"/>
          <w:sz w:val="13"/>
          <w:szCs w:val="13"/>
          <w:color w:val="05314D"/>
        </w:rPr>
        <w:t>Notes to Condensed Consolidated Financial Statements | Consolidations and Transfers of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3. Consolidations and Transfers of Financial Assets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interests in various entities that are considered to be variable interest entities (“VIEs”). The primary types of VIEs are securitization and resecuritization trusts, limited partnerships and special purpose vehicles (“SPVs”). Variable interests from Freddie Mac and other issuers may include a guaranty that reduces our exposure to credit risk when we hold them as investments or resecuritize them in a resecuritization trust that issues MBS that are backed by our guaranty. We consolidate the substantial majority of our single-class securitization trusts because our role as guarantor and master servicer provides us with the power to direct activities (primarily the servicing of mortgage loans) that impact the credit risk to which we are exposed. In contrast, we do not consolidate single-class securitization trusts when other organizations have the power to direct these activities unless we have the unilateral ability to dissolve the trust. We also do not consolidate our resecuritization trusts unless we have the unilateral ability to dissolve the trust. We may include securities issued by Freddie Mac in some of our resecuritization trusts. The mortgage loans that serve as collateral for Freddie Mac-issued securities are not held in trusts that are consolidated by Fannie Mae.</w:t>
      </w:r>
    </w:p>
    <w:p>
      <w:pPr>
        <w:spacing w:after="0" w:line="90"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Unconsolidated VIEs</w:t>
      </w:r>
    </w:p>
    <w:p>
      <w:pPr>
        <w:spacing w:after="0" w:line="8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do not consolidate VIEs when we are not deemed to be the primary beneficiary. The following table displays the carrying amount and classification of our assets and liabilities that relate to our involvement with unconsolidated securitization and resecuritization trusts.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760" w:type="dxa"/>
            <w:vAlign w:val="bottom"/>
            <w:tcBorders>
              <w:bottom w:val="single" w:sz="8" w:color="2C6937"/>
            </w:tcBorders>
          </w:tcPr>
          <w:p>
            <w:pPr>
              <w:spacing w:after="0"/>
              <w:rPr>
                <w:sz w:val="18"/>
                <w:szCs w:val="18"/>
                <w:color w:val="auto"/>
              </w:rPr>
            </w:pPr>
          </w:p>
        </w:tc>
      </w:tr>
      <w:tr>
        <w:trPr>
          <w:trHeight w:val="199"/>
        </w:trPr>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June 30, 2024</w:t>
            </w:r>
          </w:p>
        </w:tc>
        <w:tc>
          <w:tcPr>
            <w:tcW w:w="46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760" w:type="dxa"/>
            <w:vAlign w:val="bottom"/>
            <w:tcBorders>
              <w:bottom w:val="single" w:sz="8" w:color="2C6937"/>
            </w:tcBorders>
          </w:tcPr>
          <w:p>
            <w:pPr>
              <w:jc w:val="right"/>
              <w:ind w:right="203"/>
              <w:spacing w:after="0"/>
              <w:rPr>
                <w:sz w:val="20"/>
                <w:szCs w:val="20"/>
                <w:color w:val="auto"/>
              </w:rPr>
            </w:pPr>
            <w:r>
              <w:rPr>
                <w:rFonts w:ascii="Arial" w:cs="Arial" w:eastAsia="Arial" w:hAnsi="Arial"/>
                <w:sz w:val="15"/>
                <w:szCs w:val="15"/>
                <w:b w:val="1"/>
                <w:bCs w:val="1"/>
                <w:color w:val="auto"/>
              </w:rPr>
              <w:t>December 31, 2023</w:t>
            </w:r>
          </w:p>
        </w:tc>
      </w:tr>
      <w:tr>
        <w:trPr>
          <w:trHeight w:val="207"/>
        </w:trPr>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40" w:type="dxa"/>
            <w:vAlign w:val="bottom"/>
            <w:gridSpan w:val="5"/>
          </w:tcPr>
          <w:p>
            <w:pPr>
              <w:jc w:val="right"/>
              <w:ind w:right="1223"/>
              <w:spacing w:after="0"/>
              <w:rPr>
                <w:sz w:val="20"/>
                <w:szCs w:val="20"/>
                <w:color w:val="auto"/>
              </w:rPr>
            </w:pPr>
            <w:r>
              <w:rPr>
                <w:rFonts w:ascii="Arial" w:cs="Arial" w:eastAsia="Arial" w:hAnsi="Arial"/>
                <w:sz w:val="15"/>
                <w:szCs w:val="15"/>
                <w:b w:val="1"/>
                <w:bCs w:val="1"/>
                <w:color w:val="auto"/>
              </w:rPr>
              <w:t>(Dollars in millions)</w:t>
            </w:r>
          </w:p>
        </w:tc>
      </w:tr>
      <w:tr>
        <w:trPr>
          <w:trHeight w:val="199"/>
        </w:trPr>
        <w:tc>
          <w:tcPr>
            <w:tcW w:w="7200" w:type="dxa"/>
            <w:vAlign w:val="bottom"/>
            <w:gridSpan w:val="2"/>
          </w:tcPr>
          <w:p>
            <w:pPr>
              <w:ind w:left="20"/>
              <w:spacing w:after="0"/>
              <w:rPr>
                <w:sz w:val="20"/>
                <w:szCs w:val="20"/>
                <w:color w:val="auto"/>
              </w:rPr>
            </w:pPr>
            <w:r>
              <w:rPr>
                <w:rFonts w:ascii="Arial" w:cs="Arial" w:eastAsia="Arial" w:hAnsi="Arial"/>
                <w:sz w:val="15"/>
                <w:szCs w:val="15"/>
                <w:color w:val="auto"/>
              </w:rPr>
              <w:t>Assets and liabilities recorded in our condensed consolidated balance sheets related to unconsolidated</w:t>
            </w: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4"/>
        </w:trPr>
        <w:tc>
          <w:tcPr>
            <w:tcW w:w="7200" w:type="dxa"/>
            <w:vAlign w:val="bottom"/>
            <w:gridSpan w:val="2"/>
          </w:tcPr>
          <w:p>
            <w:pPr>
              <w:ind w:left="180"/>
              <w:spacing w:after="0"/>
              <w:rPr>
                <w:sz w:val="20"/>
                <w:szCs w:val="20"/>
                <w:color w:val="auto"/>
              </w:rPr>
            </w:pPr>
            <w:r>
              <w:rPr>
                <w:rFonts w:ascii="Arial" w:cs="Arial" w:eastAsia="Arial" w:hAnsi="Arial"/>
                <w:sz w:val="15"/>
                <w:szCs w:val="15"/>
                <w:color w:val="auto"/>
              </w:rPr>
              <w:t>mortgage-backed trusts:</w:t>
            </w: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53"/>
        </w:trPr>
        <w:tc>
          <w:tcPr>
            <w:tcW w:w="7200" w:type="dxa"/>
            <w:vAlign w:val="bottom"/>
            <w:gridSpan w:val="2"/>
          </w:tcPr>
          <w:p>
            <w:pPr>
              <w:ind w:left="20"/>
              <w:spacing w:after="0"/>
              <w:rPr>
                <w:sz w:val="20"/>
                <w:szCs w:val="20"/>
                <w:color w:val="auto"/>
              </w:rPr>
            </w:pPr>
            <w:r>
              <w:rPr>
                <w:rFonts w:ascii="Arial" w:cs="Arial" w:eastAsia="Arial" w:hAnsi="Arial"/>
                <w:sz w:val="15"/>
                <w:szCs w:val="15"/>
                <w:color w:val="auto"/>
              </w:rPr>
              <w:t>Investments in securities, at fair value</w:t>
            </w:r>
          </w:p>
        </w:tc>
        <w:tc>
          <w:tcPr>
            <w:tcW w:w="1500" w:type="dxa"/>
            <w:vAlign w:val="bottom"/>
          </w:tcPr>
          <w:p>
            <w:pPr>
              <w:jc w:val="right"/>
              <w:ind w:right="1323"/>
              <w:spacing w:after="0"/>
              <w:rPr>
                <w:sz w:val="20"/>
                <w:szCs w:val="20"/>
                <w:color w:val="auto"/>
              </w:rPr>
            </w:pPr>
            <w:r>
              <w:rPr>
                <w:rFonts w:ascii="Arial" w:cs="Arial" w:eastAsia="Arial" w:hAnsi="Arial"/>
                <w:sz w:val="15"/>
                <w:szCs w:val="15"/>
                <w:b w:val="1"/>
                <w:bCs w:val="1"/>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1,415</w:t>
            </w:r>
          </w:p>
        </w:tc>
        <w:tc>
          <w:tcPr>
            <w:tcW w:w="120" w:type="dxa"/>
            <w:vAlign w:val="bottom"/>
          </w:tcPr>
          <w:p>
            <w:pPr>
              <w:spacing w:after="0"/>
              <w:rPr>
                <w:sz w:val="21"/>
                <w:szCs w:val="21"/>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4,863</w:t>
            </w:r>
          </w:p>
        </w:tc>
      </w:tr>
      <w:tr>
        <w:trPr>
          <w:trHeight w:val="224"/>
        </w:trPr>
        <w:tc>
          <w:tcPr>
            <w:tcW w:w="7200" w:type="dxa"/>
            <w:vAlign w:val="bottom"/>
            <w:gridSpan w:val="2"/>
          </w:tcPr>
          <w:p>
            <w:pPr>
              <w:ind w:left="20"/>
              <w:spacing w:after="0"/>
              <w:rPr>
                <w:sz w:val="20"/>
                <w:szCs w:val="20"/>
                <w:color w:val="auto"/>
              </w:rPr>
            </w:pPr>
            <w:r>
              <w:rPr>
                <w:rFonts w:ascii="Arial" w:cs="Arial" w:eastAsia="Arial" w:hAnsi="Arial"/>
                <w:sz w:val="15"/>
                <w:szCs w:val="15"/>
                <w:color w:val="auto"/>
              </w:rPr>
              <w:t>Other assets</w:t>
            </w:r>
          </w:p>
        </w:tc>
        <w:tc>
          <w:tcPr>
            <w:tcW w:w="1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08"/>
        </w:trPr>
        <w:tc>
          <w:tcPr>
            <w:tcW w:w="71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liabilities</w:t>
            </w:r>
          </w:p>
        </w:tc>
        <w:tc>
          <w:tcPr>
            <w:tcW w:w="100" w:type="dxa"/>
            <w:vAlign w:val="bottom"/>
          </w:tcPr>
          <w:p>
            <w:pPr>
              <w:spacing w:after="0"/>
              <w:rPr>
                <w:sz w:val="18"/>
                <w:szCs w:val="18"/>
                <w:color w:val="auto"/>
              </w:rPr>
            </w:pPr>
          </w:p>
        </w:tc>
        <w:tc>
          <w:tcPr>
            <w:tcW w:w="1500" w:type="dxa"/>
            <w:vAlign w:val="bottom"/>
            <w:tcBorders>
              <w:bottom w:val="single" w:sz="8" w:color="2C6937"/>
            </w:tcBorders>
          </w:tcPr>
          <w:p>
            <w:pPr>
              <w:spacing w:after="0"/>
              <w:rPr>
                <w:sz w:val="18"/>
                <w:szCs w:val="18"/>
                <w:color w:val="auto"/>
              </w:rPr>
            </w:pPr>
          </w:p>
        </w:tc>
        <w:tc>
          <w:tcPr>
            <w:tcW w:w="4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w:t>
            </w:r>
          </w:p>
        </w:tc>
        <w:tc>
          <w:tcPr>
            <w:tcW w:w="12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w:t>
            </w:r>
          </w:p>
        </w:tc>
      </w:tr>
      <w:tr>
        <w:trPr>
          <w:trHeight w:val="199"/>
        </w:trPr>
        <w:tc>
          <w:tcPr>
            <w:tcW w:w="7200" w:type="dxa"/>
            <w:vAlign w:val="bottom"/>
            <w:gridSpan w:val="2"/>
          </w:tcPr>
          <w:p>
            <w:pPr>
              <w:ind w:left="180"/>
              <w:spacing w:after="0"/>
              <w:rPr>
                <w:sz w:val="20"/>
                <w:szCs w:val="20"/>
                <w:color w:val="auto"/>
              </w:rPr>
            </w:pPr>
            <w:r>
              <w:rPr>
                <w:rFonts w:ascii="Arial" w:cs="Arial" w:eastAsia="Arial" w:hAnsi="Arial"/>
                <w:sz w:val="15"/>
                <w:szCs w:val="15"/>
                <w:color w:val="auto"/>
              </w:rPr>
              <w:t>Net carrying amount</w:t>
            </w:r>
          </w:p>
        </w:tc>
        <w:tc>
          <w:tcPr>
            <w:tcW w:w="1500" w:type="dxa"/>
            <w:vAlign w:val="bottom"/>
          </w:tcPr>
          <w:p>
            <w:pPr>
              <w:jc w:val="right"/>
              <w:ind w:right="1323"/>
              <w:spacing w:after="0"/>
              <w:rPr>
                <w:sz w:val="20"/>
                <w:szCs w:val="20"/>
                <w:color w:val="auto"/>
              </w:rPr>
            </w:pPr>
            <w:r>
              <w:rPr>
                <w:rFonts w:ascii="Arial" w:cs="Arial" w:eastAsia="Arial" w:hAnsi="Arial"/>
                <w:sz w:val="15"/>
                <w:szCs w:val="15"/>
                <w:b w:val="1"/>
                <w:bCs w:val="1"/>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1,410</w:t>
            </w:r>
          </w:p>
        </w:tc>
        <w:tc>
          <w:tcPr>
            <w:tcW w:w="12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4,858</w:t>
            </w:r>
          </w:p>
        </w:tc>
      </w:tr>
      <w:tr>
        <w:trPr>
          <w:trHeight w:val="20"/>
        </w:trPr>
        <w:tc>
          <w:tcPr>
            <w:tcW w:w="71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760" w:type="dxa"/>
            <w:vAlign w:val="bottom"/>
            <w:tcBorders>
              <w:top w:val="single" w:sz="8" w:color="2C6937"/>
              <w:bottom w:val="single" w:sz="8" w:color="2C6937"/>
            </w:tcBorders>
          </w:tcPr>
          <w:p>
            <w:pPr>
              <w:spacing w:after="0" w:line="20" w:lineRule="exact"/>
              <w:rPr>
                <w:sz w:val="1"/>
                <w:szCs w:val="1"/>
                <w:color w:val="auto"/>
              </w:rPr>
            </w:pPr>
          </w:p>
        </w:tc>
      </w:tr>
    </w:tbl>
    <w:p>
      <w:pPr>
        <w:spacing w:after="0" w:line="17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maximum exposure to loss generally represents the greater of our carrying amount related to our involvement with unconsolidated securitization and resecuritization trusts or the unpaid principal balance of the assets covered by our guaranty. Our involvement in unconsolidated resecuritization trusts may give rise to additional exposure to loss depending on the type of resecuritization trust. Fannie Mae resecuritization trusts that are backed entirely by Fannie Mae MBS are not consolidated and do not give rise to any additional exposure to loss as we already consolidate the underlying collateral. In contrast, Fannie Mae resecuritization trusts that are backed in whole or in part by Freddie Mac securities may increase our exposure to loss to the extent that we are providing a guaranty for the timely payment and interest on the underlying Freddie Mac securities that we have not previously guaranteed. Our maximum exposure to loss for these unconsolidated trusts is measured by the amount of Freddie Mac securities that are held in these resecuritization trusts.</w:t>
      </w:r>
    </w:p>
    <w:p>
      <w:pPr>
        <w:spacing w:after="0" w:line="4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maximum exposure to loss related to unconsolidated securitization and resecuritization trusts, which includes but is not limited to our exposure to these Freddie Mac securities, was approximately $212 billion and $223 billion as of June 30, 2024 and December 31, 2023, respectively. The total assets of our unconsolidated securitization and resecuritization trusts were approximately $212 billion and $273 billion as of June 30, 2024 and December 31, 2023, respectively.</w:t>
      </w:r>
    </w:p>
    <w:p>
      <w:pPr>
        <w:spacing w:after="0" w:line="33"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maximum exposure to loss for our unconsolidated limited partnerships and similar legal entities, which consist of LIHTC investments, community investments and investments in other entities, was $580 million and the related net carrying value was $580 million as of June 30, 2024. As of December 31, 2023, the maximum exposure to loss was $530 million and the related net carrying value was $528 million. The total assets of these limited partnership investments was $5.9 billion and $5.8 billion as of June 30, 2024 and December 31, 2023, respectively.</w:t>
      </w:r>
    </w:p>
    <w:p>
      <w:pPr>
        <w:spacing w:after="0" w:line="33"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The maximum exposure to loss related to our involvement with unconsolidated SPVs that transfer credit risk represents the unpaid principal balance and accrued interest payable of obligations issued by our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(“CAS”) and Multifamily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(“MCAS</w:t>
      </w:r>
      <w:r>
        <w:rPr>
          <w:rFonts w:ascii="Arial" w:cs="Arial" w:eastAsia="Arial" w:hAnsi="Arial"/>
          <w:sz w:val="8"/>
          <w:szCs w:val="8"/>
          <w:color w:val="auto"/>
        </w:rPr>
        <w:t>TM</w:t>
      </w:r>
      <w:r>
        <w:rPr>
          <w:rFonts w:ascii="Arial" w:cs="Arial" w:eastAsia="Arial" w:hAnsi="Arial"/>
          <w:sz w:val="16"/>
          <w:szCs w:val="16"/>
          <w:color w:val="auto"/>
        </w:rPr>
        <w:t>”) SPVs. The maximum exposure to loss related to these unconsolidated SPVs was $22.8 billion and $21.4 billion as of June 30, 2024 and December 31, 2023, respectively. The total assets related to these unconsolidated SPVs were $22.8 billion and $21.4 billion as of June 30,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375920</wp:posOffset>
            </wp:positionV>
            <wp:extent cx="680593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2" w:name="page73"/>
    <w:bookmarkEnd w:id="72"/>
    <w:p>
      <w:pPr>
        <w:ind w:left="4640"/>
        <w:spacing w:after="0"/>
        <w:rPr>
          <w:sz w:val="20"/>
          <w:szCs w:val="20"/>
          <w:color w:val="auto"/>
        </w:rPr>
      </w:pPr>
      <w:r>
        <w:rPr>
          <w:rFonts w:ascii="Arial" w:cs="Arial" w:eastAsia="Arial" w:hAnsi="Arial"/>
          <w:sz w:val="13"/>
          <w:szCs w:val="13"/>
          <w:color w:val="05314D"/>
        </w:rPr>
        <w:t>Notes to Condensed Consolidated Financial Statements | Consolidations and Transfers of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As our lending relationship does not provide us with a controlling financial interest in the borrower entity for loans in our multifamily loan portfolio, we do not consolidate these borrowers regardless of their status as either a VIE or a voting interest entity. We have excluded these entities from our VIE disclosures. As of June 30, 2024, the unpaid principal balance of our multifamily loan portfolio was $470.9 billion. However, the disclosures we have provided in “Note 4, Mortgage Loans,” “Note 5, Allowance for Loan Losses” and “Note 7, Financial Guarantees” with respect to this population are consistent with the FASB’s stated objectives for the disclosures related to unconsolidated VIEs.</w:t>
      </w:r>
    </w:p>
    <w:p>
      <w:pPr>
        <w:spacing w:after="0" w:line="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Transfers of Financial Assets and Portfolio Securitizations</w:t>
      </w:r>
    </w:p>
    <w:p>
      <w:pPr>
        <w:spacing w:after="0" w:line="68"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We issue Fannie Mae MBS through portfolio securitization transactions by transferring pools of mortgage loans or mortgage-related securities to one or more trusts or special purpose entities. For the three months ended June 30, 2024 and 2023, the unpaid principal balance of portfolio securitizations was $35.5 billion and $36.9 billion, respectively. For the six months ended June 30, 2024 and 2023, the unpaid principal balance of portfolio securitizations was $66.7 billion and $65.2 billion, respectively. The substantial majority of these portfolio securitization transactions generally do not qualify for sale treatment. Portfolio securitization trusts that do qualify for sale treatment primarily consist of loans that are guaranteed or insured, in whole or in part, by the U.S. government.</w:t>
      </w:r>
    </w:p>
    <w:p>
      <w:pPr>
        <w:spacing w:after="0" w:line="23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retain interests from the transfer and sale of mortgage-related securities to unconsolidated single-class and multi-class portfolio securitization trusts. As of June 30, 2024, the unpaid principal balance of retained interests was $699 million and its related fair value was $1.1 billion. As of December 31, 2023, the unpaid principal balance of retained interests was $821 million and its related fair value was $1.3 billion. For the three months ended June 30, 2024 and 2023, the principal, interest and other fees received on retained interests was $63 million and $70 million, respectively. For the six months ended June 30, 2024 and 2023, the principal, interest and other fees received on retained interests was $127 million and $148 million, respectively.</w:t>
      </w:r>
    </w:p>
    <w:p>
      <w:pPr>
        <w:spacing w:after="0" w:line="1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4. Mortgage Loans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own single-family mortgage loans, which are secured by four or fewer residential dwelling units, and multifamily mortgage loans, which are secured by five or more residential dwelling units. We classify these loans as either held for investment (“HFI”) or held for sale (“HFS”). Unless otherwise noted, within “Note 4, Mortgage Loans,” we report the amortized cost of HFI loans for which we have not elected the fair value option at the unpaid principal balance, net of unamortized premiums and discounts, hedge-related basis adjustments, other cost basis adjustments, and accrued interest receivable. Within our condensed consolidated balance sheets, we present accrued interest receivable, net separately from the amortized cost of our loans held for investment. We report the carrying value of HFS loans at the lower of cost or fair value and record valuation changes in “Investment gains (losses), net” in our condensed consolidated statements of operations and comprehensive income.</w:t>
      </w:r>
    </w:p>
    <w:p>
      <w:pPr>
        <w:spacing w:after="0" w:line="56"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color w:val="auto"/>
        </w:rPr>
        <w:t>Within our single-family mortgage loan disclosures below, we display loans by class of financing receivable type. Financing receivable classes used for disclosure consist of: “20- and 30-year or more, amortizing fixed-rate,” “15-year or less, amortizing fixed-rate,” “Adjustable-rate,” and “Other.” The “Other” class primarily consists of reverse mortgage loans, interest-only loans, negative-amortizing loans and second liens.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carrying value of our mortgage loans and allowance for loan losses.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2C6937"/>
            </w:tcBorders>
          </w:tcPr>
          <w:p>
            <w:pPr>
              <w:spacing w:after="0"/>
              <w:rPr>
                <w:sz w:val="18"/>
                <w:szCs w:val="18"/>
                <w:color w:val="auto"/>
              </w:rPr>
            </w:pPr>
          </w:p>
        </w:tc>
        <w:tc>
          <w:tcPr>
            <w:tcW w:w="2040" w:type="dxa"/>
            <w:vAlign w:val="bottom"/>
            <w:tcBorders>
              <w:bottom w:val="single" w:sz="8" w:color="2C6937"/>
            </w:tcBorders>
            <w:gridSpan w:val="3"/>
          </w:tcPr>
          <w:p>
            <w:pPr>
              <w:jc w:val="right"/>
              <w:ind w:right="3"/>
              <w:spacing w:after="0"/>
              <w:rPr>
                <w:sz w:val="20"/>
                <w:szCs w:val="20"/>
                <w:color w:val="auto"/>
              </w:rPr>
            </w:pPr>
            <w:r>
              <w:rPr>
                <w:rFonts w:ascii="Arial" w:cs="Arial" w:eastAsia="Arial" w:hAnsi="Arial"/>
                <w:sz w:val="15"/>
                <w:szCs w:val="15"/>
                <w:b w:val="1"/>
                <w:bCs w:val="1"/>
                <w:color w:val="auto"/>
              </w:rPr>
              <w:t>As of</w:t>
            </w:r>
          </w:p>
        </w:tc>
        <w:tc>
          <w:tcPr>
            <w:tcW w:w="1800" w:type="dxa"/>
            <w:vAlign w:val="bottom"/>
            <w:tcBorders>
              <w:bottom w:val="single" w:sz="8" w:color="2C6937"/>
            </w:tcBorders>
          </w:tcPr>
          <w:p>
            <w:pPr>
              <w:spacing w:after="0"/>
              <w:rPr>
                <w:sz w:val="18"/>
                <w:szCs w:val="18"/>
                <w:color w:val="auto"/>
              </w:rPr>
            </w:pPr>
          </w:p>
        </w:tc>
      </w:tr>
      <w:tr>
        <w:trPr>
          <w:trHeight w:val="202"/>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820" w:type="dxa"/>
            <w:vAlign w:val="bottom"/>
            <w:tcBorders>
              <w:bottom w:val="single" w:sz="8" w:color="2C6937"/>
            </w:tcBorders>
            <w:gridSpan w:val="2"/>
          </w:tcPr>
          <w:p>
            <w:pPr>
              <w:ind w:left="200"/>
              <w:spacing w:after="0"/>
              <w:rPr>
                <w:sz w:val="20"/>
                <w:szCs w:val="20"/>
                <w:color w:val="auto"/>
              </w:rPr>
            </w:pPr>
            <w:r>
              <w:rPr>
                <w:rFonts w:ascii="Arial" w:cs="Arial" w:eastAsia="Arial" w:hAnsi="Arial"/>
                <w:sz w:val="15"/>
                <w:szCs w:val="15"/>
                <w:b w:val="1"/>
                <w:bCs w:val="1"/>
                <w:color w:val="auto"/>
              </w:rPr>
              <w:t>June 30, 2024</w:t>
            </w:r>
          </w:p>
        </w:tc>
        <w:tc>
          <w:tcPr>
            <w:tcW w:w="220" w:type="dxa"/>
            <w:vAlign w:val="bottom"/>
            <w:tcBorders>
              <w:bottom w:val="single" w:sz="8" w:color="2C6937"/>
            </w:tcBorders>
          </w:tcPr>
          <w:p>
            <w:pPr>
              <w:spacing w:after="0"/>
              <w:rPr>
                <w:sz w:val="17"/>
                <w:szCs w:val="17"/>
                <w:color w:val="auto"/>
              </w:rPr>
            </w:pPr>
          </w:p>
        </w:tc>
        <w:tc>
          <w:tcPr>
            <w:tcW w:w="180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December 31, 2023</w:t>
            </w:r>
          </w:p>
        </w:tc>
      </w:tr>
      <w:tr>
        <w:trPr>
          <w:trHeight w:val="296"/>
        </w:trPr>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40" w:type="dxa"/>
            <w:vAlign w:val="bottom"/>
            <w:gridSpan w:val="4"/>
          </w:tcPr>
          <w:p>
            <w:pPr>
              <w:jc w:val="right"/>
              <w:ind w:right="1283"/>
              <w:spacing w:after="0"/>
              <w:rPr>
                <w:sz w:val="20"/>
                <w:szCs w:val="20"/>
                <w:color w:val="auto"/>
              </w:rPr>
            </w:pPr>
            <w:r>
              <w:rPr>
                <w:rFonts w:ascii="Arial" w:cs="Arial" w:eastAsia="Arial" w:hAnsi="Arial"/>
                <w:sz w:val="15"/>
                <w:szCs w:val="15"/>
                <w:b w:val="1"/>
                <w:bCs w:val="1"/>
                <w:color w:val="auto"/>
              </w:rPr>
              <w:t>(Dollars in millions)</w:t>
            </w:r>
          </w:p>
        </w:tc>
      </w:tr>
      <w:tr>
        <w:trPr>
          <w:trHeight w:val="322"/>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720" w:type="dxa"/>
            <w:vAlign w:val="bottom"/>
          </w:tcPr>
          <w:p>
            <w:pPr>
              <w:jc w:val="right"/>
              <w:ind w:right="3"/>
              <w:spacing w:after="0"/>
              <w:rPr>
                <w:sz w:val="20"/>
                <w:szCs w:val="20"/>
                <w:color w:val="auto"/>
              </w:rPr>
            </w:pPr>
            <w:r>
              <w:rPr>
                <w:rFonts w:ascii="Arial" w:cs="Arial" w:eastAsia="Arial" w:hAnsi="Arial"/>
                <w:sz w:val="15"/>
                <w:szCs w:val="15"/>
                <w:b w:val="1"/>
                <w:bCs w:val="1"/>
                <w:color w:val="auto"/>
              </w:rPr>
              <w:t>3,627,376</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3,641,385</w:t>
            </w:r>
          </w:p>
        </w:tc>
      </w:tr>
      <w:tr>
        <w:trPr>
          <w:trHeight w:val="303"/>
        </w:trPr>
        <w:tc>
          <w:tcPr>
            <w:tcW w:w="7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7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470,928</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461,247</w:t>
            </w:r>
          </w:p>
        </w:tc>
      </w:tr>
      <w:tr>
        <w:trPr>
          <w:trHeight w:val="309"/>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Total unpaid principal balance of mortgage loans</w:t>
            </w:r>
          </w:p>
        </w:tc>
        <w:tc>
          <w:tcPr>
            <w:tcW w:w="300" w:type="dxa"/>
            <w:vAlign w:val="bottom"/>
          </w:tcPr>
          <w:p>
            <w:pPr>
              <w:spacing w:after="0"/>
              <w:rPr>
                <w:sz w:val="24"/>
                <w:szCs w:val="24"/>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b w:val="1"/>
                <w:bCs w:val="1"/>
                <w:color w:val="auto"/>
              </w:rPr>
              <w:t>4,098,304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4,102,632</w:t>
            </w:r>
          </w:p>
        </w:tc>
      </w:tr>
      <w:tr>
        <w:trPr>
          <w:trHeight w:val="309"/>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Cost basis and fair value adjustments, net</w:t>
            </w:r>
          </w:p>
        </w:tc>
        <w:tc>
          <w:tcPr>
            <w:tcW w:w="300" w:type="dxa"/>
            <w:vAlign w:val="bottom"/>
          </w:tcPr>
          <w:p>
            <w:pPr>
              <w:spacing w:after="0"/>
              <w:rPr>
                <w:sz w:val="24"/>
                <w:szCs w:val="24"/>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b w:val="1"/>
                <w:bCs w:val="1"/>
                <w:color w:val="auto"/>
              </w:rPr>
              <w:t>38,936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41,729</w:t>
            </w:r>
          </w:p>
        </w:tc>
      </w:tr>
      <w:tr>
        <w:trPr>
          <w:trHeight w:val="303"/>
        </w:trPr>
        <w:tc>
          <w:tcPr>
            <w:tcW w:w="7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Allowance for loan losses for HFI loans</w:t>
            </w:r>
          </w:p>
        </w:tc>
        <w:tc>
          <w:tcPr>
            <w:tcW w:w="10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(8,026)</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(8,730)</w:t>
            </w:r>
          </w:p>
        </w:tc>
      </w:tr>
      <w:tr>
        <w:trPr>
          <w:trHeight w:val="302"/>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(1)</w:t>
            </w: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720" w:type="dxa"/>
            <w:vAlign w:val="bottom"/>
          </w:tcPr>
          <w:p>
            <w:pPr>
              <w:jc w:val="right"/>
              <w:ind w:right="3"/>
              <w:spacing w:after="0"/>
              <w:rPr>
                <w:sz w:val="20"/>
                <w:szCs w:val="20"/>
                <w:color w:val="auto"/>
              </w:rPr>
            </w:pPr>
            <w:r>
              <w:rPr>
                <w:rFonts w:ascii="Arial" w:cs="Arial" w:eastAsia="Arial" w:hAnsi="Arial"/>
                <w:sz w:val="15"/>
                <w:szCs w:val="15"/>
                <w:b w:val="1"/>
                <w:bCs w:val="1"/>
                <w:color w:val="auto"/>
              </w:rPr>
              <w:t>4,129,214</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4,135,631</w:t>
            </w:r>
          </w:p>
        </w:tc>
      </w:tr>
      <w:tr>
        <w:trPr>
          <w:trHeight w:val="20"/>
        </w:trPr>
        <w:tc>
          <w:tcPr>
            <w:tcW w:w="7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1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800" w:type="dxa"/>
            <w:vAlign w:val="bottom"/>
            <w:tcBorders>
              <w:top w:val="single" w:sz="8" w:color="2C6937"/>
              <w:bottom w:val="single" w:sz="8" w:color="2C6937"/>
            </w:tcBorders>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Excludes $10.8 billion and $10.4 billion of accrued interest receivable as of June 30, 2024 and December 31, 2023, respectively.</w:t>
      </w:r>
    </w:p>
    <w:p>
      <w:pPr>
        <w:spacing w:after="0" w:line="200" w:lineRule="exact"/>
        <w:rPr>
          <w:rFonts w:ascii="Arial" w:cs="Arial" w:eastAsia="Arial" w:hAnsi="Arial"/>
          <w:sz w:val="18"/>
          <w:szCs w:val="18"/>
          <w:color w:val="auto"/>
          <w:vertAlign w:val="superscript"/>
        </w:rPr>
      </w:pPr>
    </w:p>
    <w:p>
      <w:pPr>
        <w:spacing w:after="0" w:line="393" w:lineRule="exact"/>
        <w:rPr>
          <w:rFonts w:ascii="Arial" w:cs="Arial" w:eastAsia="Arial" w:hAnsi="Arial"/>
          <w:sz w:val="18"/>
          <w:szCs w:val="18"/>
          <w:color w:val="auto"/>
          <w:vertAlign w:val="superscript"/>
        </w:rPr>
      </w:pPr>
    </w:p>
    <w:p>
      <w:pPr>
        <w:ind w:left="640"/>
        <w:spacing w:after="0"/>
        <w:rPr>
          <w:rFonts w:ascii="Arial" w:cs="Arial" w:eastAsia="Arial" w:hAnsi="Arial"/>
          <w:sz w:val="18"/>
          <w:szCs w:val="18"/>
          <w:color w:val="auto"/>
          <w:vertAlign w:val="superscript"/>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-113030</wp:posOffset>
            </wp:positionV>
            <wp:extent cx="680593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3" w:name="page74"/>
    <w:bookmarkEnd w:id="73"/>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information about our purchase of HFI loans, redesignation of loans and the sales of mortgage loans during the period.</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ind w:left="40"/>
              <w:spacing w:after="0"/>
              <w:rPr>
                <w:sz w:val="20"/>
                <w:szCs w:val="20"/>
                <w:color w:val="auto"/>
              </w:rPr>
            </w:pPr>
            <w:r>
              <w:rPr>
                <w:rFonts w:ascii="Arial" w:cs="Arial" w:eastAsia="Arial" w:hAnsi="Arial"/>
                <w:sz w:val="15"/>
                <w:szCs w:val="15"/>
                <w:b w:val="1"/>
                <w:bCs w:val="1"/>
                <w:color w:val="auto"/>
              </w:rPr>
              <w:t>For the Three Months Ended</w:t>
            </w:r>
          </w:p>
        </w:tc>
        <w:tc>
          <w:tcPr>
            <w:tcW w:w="100" w:type="dxa"/>
            <w:vAlign w:val="bottom"/>
          </w:tcPr>
          <w:p>
            <w:pPr>
              <w:spacing w:after="0"/>
              <w:rPr>
                <w:sz w:val="14"/>
                <w:szCs w:val="14"/>
                <w:color w:val="auto"/>
              </w:rPr>
            </w:pPr>
          </w:p>
        </w:tc>
        <w:tc>
          <w:tcPr>
            <w:tcW w:w="2440" w:type="dxa"/>
            <w:vAlign w:val="bottom"/>
            <w:gridSpan w:val="5"/>
          </w:tcPr>
          <w:p>
            <w:pPr>
              <w:jc w:val="right"/>
              <w:ind w:right="43"/>
              <w:spacing w:after="0"/>
              <w:rPr>
                <w:sz w:val="20"/>
                <w:szCs w:val="20"/>
                <w:color w:val="auto"/>
              </w:rPr>
            </w:pPr>
            <w:r>
              <w:rPr>
                <w:rFonts w:ascii="Arial" w:cs="Arial" w:eastAsia="Arial" w:hAnsi="Arial"/>
                <w:sz w:val="15"/>
                <w:szCs w:val="15"/>
                <w:b w:val="1"/>
                <w:bCs w:val="1"/>
                <w:color w:val="auto"/>
              </w:rPr>
              <w:t>For the Six Months Ended June</w:t>
            </w:r>
          </w:p>
        </w:tc>
      </w:tr>
      <w:tr>
        <w:trPr>
          <w:trHeight w:val="206"/>
        </w:trPr>
        <w:tc>
          <w:tcPr>
            <w:tcW w:w="59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500" w:type="dxa"/>
            <w:vAlign w:val="bottom"/>
            <w:tcBorders>
              <w:bottom w:val="single" w:sz="8" w:color="2C6937"/>
            </w:tcBorders>
            <w:gridSpan w:val="3"/>
          </w:tcPr>
          <w:p>
            <w:pPr>
              <w:jc w:val="right"/>
              <w:ind w:right="23"/>
              <w:spacing w:after="0"/>
              <w:rPr>
                <w:sz w:val="20"/>
                <w:szCs w:val="20"/>
                <w:color w:val="auto"/>
              </w:rPr>
            </w:pPr>
            <w:r>
              <w:rPr>
                <w:rFonts w:ascii="Arial" w:cs="Arial" w:eastAsia="Arial" w:hAnsi="Arial"/>
                <w:sz w:val="15"/>
                <w:szCs w:val="15"/>
                <w:b w:val="1"/>
                <w:bCs w:val="1"/>
                <w:color w:val="auto"/>
              </w:rPr>
              <w:t>June 30,</w:t>
            </w:r>
          </w:p>
        </w:tc>
        <w:tc>
          <w:tcPr>
            <w:tcW w:w="8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spacing w:after="0"/>
              <w:rPr>
                <w:sz w:val="17"/>
                <w:szCs w:val="17"/>
                <w:color w:val="auto"/>
              </w:rPr>
            </w:pPr>
          </w:p>
        </w:tc>
        <w:tc>
          <w:tcPr>
            <w:tcW w:w="420" w:type="dxa"/>
            <w:vAlign w:val="bottom"/>
            <w:tcBorders>
              <w:bottom w:val="single" w:sz="8" w:color="2C6937"/>
            </w:tcBorders>
            <w:gridSpan w:val="3"/>
          </w:tcPr>
          <w:p>
            <w:pPr>
              <w:jc w:val="right"/>
              <w:ind w:right="200"/>
              <w:spacing w:after="0"/>
              <w:rPr>
                <w:sz w:val="20"/>
                <w:szCs w:val="20"/>
                <w:color w:val="auto"/>
              </w:rPr>
            </w:pPr>
            <w:r>
              <w:rPr>
                <w:rFonts w:ascii="Arial" w:cs="Arial" w:eastAsia="Arial" w:hAnsi="Arial"/>
                <w:sz w:val="15"/>
                <w:szCs w:val="15"/>
                <w:b w:val="1"/>
                <w:bCs w:val="1"/>
                <w:color w:val="auto"/>
                <w:w w:val="95"/>
              </w:rPr>
              <w:t>30,</w:t>
            </w:r>
          </w:p>
        </w:tc>
        <w:tc>
          <w:tcPr>
            <w:tcW w:w="960" w:type="dxa"/>
            <w:vAlign w:val="bottom"/>
            <w:tcBorders>
              <w:bottom w:val="single" w:sz="8" w:color="2C6937"/>
            </w:tcBorders>
          </w:tcPr>
          <w:p>
            <w:pPr>
              <w:spacing w:after="0"/>
              <w:rPr>
                <w:sz w:val="17"/>
                <w:szCs w:val="17"/>
                <w:color w:val="auto"/>
              </w:rPr>
            </w:pPr>
          </w:p>
        </w:tc>
      </w:tr>
      <w:tr>
        <w:trPr>
          <w:trHeight w:val="199"/>
        </w:trPr>
        <w:tc>
          <w:tcPr>
            <w:tcW w:w="59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2023</w:t>
            </w:r>
          </w:p>
        </w:tc>
      </w:tr>
      <w:tr>
        <w:trPr>
          <w:trHeight w:val="283"/>
        </w:trPr>
        <w:tc>
          <w:tcPr>
            <w:tcW w:w="5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gridSpan w:val="4"/>
          </w:tcPr>
          <w:p>
            <w:pPr>
              <w:jc w:val="right"/>
              <w:ind w:right="463"/>
              <w:spacing w:after="0"/>
              <w:rPr>
                <w:sz w:val="20"/>
                <w:szCs w:val="20"/>
                <w:color w:val="auto"/>
              </w:rPr>
            </w:pPr>
            <w:r>
              <w:rPr>
                <w:rFonts w:ascii="Arial" w:cs="Arial" w:eastAsia="Arial" w:hAnsi="Arial"/>
                <w:sz w:val="15"/>
                <w:szCs w:val="15"/>
                <w:b w:val="1"/>
                <w:bCs w:val="1"/>
                <w:color w:val="auto"/>
              </w:rPr>
              <w:t>(Dollars in millions)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4"/>
        </w:trPr>
        <w:tc>
          <w:tcPr>
            <w:tcW w:w="5920" w:type="dxa"/>
            <w:vAlign w:val="bottom"/>
          </w:tcPr>
          <w:p>
            <w:pPr>
              <w:spacing w:after="0"/>
              <w:rPr>
                <w:sz w:val="20"/>
                <w:szCs w:val="20"/>
                <w:color w:val="auto"/>
              </w:rPr>
            </w:pPr>
            <w:r>
              <w:rPr>
                <w:rFonts w:ascii="Arial" w:cs="Arial" w:eastAsia="Arial" w:hAnsi="Arial"/>
                <w:sz w:val="15"/>
                <w:szCs w:val="15"/>
                <w:color w:val="auto"/>
              </w:rPr>
              <w:t>Purchase of HFI loans: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3"/>
        </w:trPr>
        <w:tc>
          <w:tcPr>
            <w:tcW w:w="5920" w:type="dxa"/>
            <w:vAlign w:val="bottom"/>
          </w:tcPr>
          <w:p>
            <w:pPr>
              <w:ind w:left="160"/>
              <w:spacing w:after="0"/>
              <w:rPr>
                <w:sz w:val="20"/>
                <w:szCs w:val="20"/>
                <w:color w:val="auto"/>
              </w:rPr>
            </w:pPr>
            <w:r>
              <w:rPr>
                <w:rFonts w:ascii="Arial" w:cs="Arial" w:eastAsia="Arial" w:hAnsi="Arial"/>
                <w:sz w:val="15"/>
                <w:szCs w:val="15"/>
                <w:color w:val="auto"/>
              </w:rPr>
              <w:t>Single-family unpaid principal balance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85,776</w:t>
            </w:r>
          </w:p>
        </w:tc>
        <w:tc>
          <w:tcPr>
            <w:tcW w:w="100" w:type="dxa"/>
            <w:vAlign w:val="bottom"/>
          </w:tcPr>
          <w:p>
            <w:pPr>
              <w:spacing w:after="0"/>
              <w:rPr>
                <w:sz w:val="21"/>
                <w:szCs w:val="21"/>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89,175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148,066</w:t>
            </w:r>
          </w:p>
        </w:tc>
        <w:tc>
          <w:tcPr>
            <w:tcW w:w="4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156,642</w:t>
            </w:r>
          </w:p>
        </w:tc>
      </w:tr>
      <w:tr>
        <w:trPr>
          <w:trHeight w:val="232"/>
        </w:trPr>
        <w:tc>
          <w:tcPr>
            <w:tcW w:w="5920" w:type="dxa"/>
            <w:vAlign w:val="bottom"/>
          </w:tcPr>
          <w:p>
            <w:pPr>
              <w:ind w:left="160"/>
              <w:spacing w:after="0"/>
              <w:rPr>
                <w:sz w:val="20"/>
                <w:szCs w:val="20"/>
                <w:color w:val="auto"/>
              </w:rPr>
            </w:pPr>
            <w:r>
              <w:rPr>
                <w:rFonts w:ascii="Arial" w:cs="Arial" w:eastAsia="Arial" w:hAnsi="Arial"/>
                <w:sz w:val="15"/>
                <w:szCs w:val="15"/>
                <w:color w:val="auto"/>
              </w:rPr>
              <w:t>Multifamily unpaid principal balance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9,271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15,111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19,339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25,346</w:t>
            </w:r>
          </w:p>
        </w:tc>
      </w:tr>
      <w:tr>
        <w:trPr>
          <w:trHeight w:val="392"/>
        </w:trPr>
        <w:tc>
          <w:tcPr>
            <w:tcW w:w="5920" w:type="dxa"/>
            <w:vAlign w:val="bottom"/>
          </w:tcPr>
          <w:p>
            <w:pPr>
              <w:spacing w:after="0"/>
              <w:rPr>
                <w:sz w:val="20"/>
                <w:szCs w:val="20"/>
                <w:color w:val="auto"/>
              </w:rPr>
            </w:pPr>
            <w:r>
              <w:rPr>
                <w:rFonts w:ascii="Arial" w:cs="Arial" w:eastAsia="Arial" w:hAnsi="Arial"/>
                <w:sz w:val="15"/>
                <w:szCs w:val="15"/>
                <w:color w:val="auto"/>
              </w:rPr>
              <w:t>Single-family loans redesignated from HFI to HFS: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0"/>
        </w:trPr>
        <w:tc>
          <w:tcPr>
            <w:tcW w:w="5920" w:type="dxa"/>
            <w:vAlign w:val="bottom"/>
          </w:tcPr>
          <w:p>
            <w:pPr>
              <w:ind w:left="160"/>
              <w:spacing w:after="0"/>
              <w:rPr>
                <w:sz w:val="20"/>
                <w:szCs w:val="20"/>
                <w:color w:val="auto"/>
              </w:rPr>
            </w:pPr>
            <w:r>
              <w:rPr>
                <w:rFonts w:ascii="Arial" w:cs="Arial" w:eastAsia="Arial" w:hAnsi="Arial"/>
                <w:sz w:val="15"/>
                <w:szCs w:val="15"/>
                <w:color w:val="auto"/>
              </w:rPr>
              <w:t>Amortized cost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216</w:t>
            </w:r>
          </w:p>
        </w:tc>
        <w:tc>
          <w:tcPr>
            <w:tcW w:w="100" w:type="dxa"/>
            <w:vAlign w:val="bottom"/>
          </w:tcPr>
          <w:p>
            <w:pPr>
              <w:spacing w:after="0"/>
              <w:rPr>
                <w:sz w:val="24"/>
                <w:szCs w:val="24"/>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452</w:t>
            </w:r>
          </w:p>
        </w:tc>
        <w:tc>
          <w:tcPr>
            <w:tcW w:w="4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355"/>
        </w:trPr>
        <w:tc>
          <w:tcPr>
            <w:tcW w:w="5920" w:type="dxa"/>
            <w:vAlign w:val="bottom"/>
          </w:tcPr>
          <w:p>
            <w:pPr>
              <w:ind w:left="160"/>
              <w:spacing w:after="0"/>
              <w:rPr>
                <w:sz w:val="20"/>
                <w:szCs w:val="20"/>
                <w:color w:val="auto"/>
              </w:rPr>
            </w:pPr>
            <w:r>
              <w:rPr>
                <w:rFonts w:ascii="Arial" w:cs="Arial" w:eastAsia="Arial" w:hAnsi="Arial"/>
                <w:sz w:val="15"/>
                <w:szCs w:val="15"/>
                <w:color w:val="auto"/>
              </w:rPr>
              <w:t>Lower of cost or fair value adjustment at time of redesignation</w:t>
            </w:r>
            <w:r>
              <w:rPr>
                <w:rFonts w:ascii="Arial" w:cs="Arial" w:eastAsia="Arial" w:hAnsi="Arial"/>
                <w:sz w:val="20"/>
                <w:szCs w:val="20"/>
                <w:color w:val="auto"/>
                <w:vertAlign w:val="superscript"/>
              </w:rPr>
              <w:t>(1)</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auto"/>
              </w:rPr>
              <w:t>(38)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63"/>
        </w:trPr>
        <w:tc>
          <w:tcPr>
            <w:tcW w:w="5920" w:type="dxa"/>
            <w:vAlign w:val="bottom"/>
          </w:tcPr>
          <w:p>
            <w:pPr>
              <w:ind w:left="160"/>
              <w:spacing w:after="0"/>
              <w:rPr>
                <w:sz w:val="20"/>
                <w:szCs w:val="20"/>
                <w:color w:val="auto"/>
              </w:rPr>
            </w:pPr>
            <w:r>
              <w:rPr>
                <w:rFonts w:ascii="Arial" w:cs="Arial" w:eastAsia="Arial" w:hAnsi="Arial"/>
                <w:sz w:val="15"/>
                <w:szCs w:val="15"/>
                <w:color w:val="auto"/>
              </w:rPr>
              <w:t>Allowance reversed at time of redesignation</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392"/>
        </w:trPr>
        <w:tc>
          <w:tcPr>
            <w:tcW w:w="5920" w:type="dxa"/>
            <w:vAlign w:val="bottom"/>
          </w:tcPr>
          <w:p>
            <w:pPr>
              <w:spacing w:after="0"/>
              <w:rPr>
                <w:sz w:val="20"/>
                <w:szCs w:val="20"/>
                <w:color w:val="auto"/>
              </w:rPr>
            </w:pPr>
            <w:r>
              <w:rPr>
                <w:rFonts w:ascii="Arial" w:cs="Arial" w:eastAsia="Arial" w:hAnsi="Arial"/>
                <w:sz w:val="15"/>
                <w:szCs w:val="15"/>
                <w:color w:val="auto"/>
              </w:rPr>
              <w:t>Single-family loans sold:</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0"/>
        </w:trPr>
        <w:tc>
          <w:tcPr>
            <w:tcW w:w="5920" w:type="dxa"/>
            <w:vAlign w:val="bottom"/>
          </w:tcPr>
          <w:p>
            <w:pPr>
              <w:ind w:left="160"/>
              <w:spacing w:after="0"/>
              <w:rPr>
                <w:sz w:val="20"/>
                <w:szCs w:val="20"/>
                <w:color w:val="auto"/>
              </w:rPr>
            </w:pPr>
            <w:r>
              <w:rPr>
                <w:rFonts w:ascii="Arial" w:cs="Arial" w:eastAsia="Arial" w:hAnsi="Arial"/>
                <w:sz w:val="15"/>
                <w:szCs w:val="15"/>
                <w:color w:val="auto"/>
              </w:rPr>
              <w:t>Unpaid principal balance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1,832</w:t>
            </w:r>
          </w:p>
        </w:tc>
        <w:tc>
          <w:tcPr>
            <w:tcW w:w="100" w:type="dxa"/>
            <w:vAlign w:val="bottom"/>
          </w:tcPr>
          <w:p>
            <w:pPr>
              <w:spacing w:after="0"/>
              <w:rPr>
                <w:sz w:val="24"/>
                <w:szCs w:val="24"/>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2,331</w:t>
            </w:r>
          </w:p>
        </w:tc>
        <w:tc>
          <w:tcPr>
            <w:tcW w:w="4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1,842</w:t>
            </w:r>
          </w:p>
        </w:tc>
      </w:tr>
      <w:tr>
        <w:trPr>
          <w:trHeight w:val="309"/>
        </w:trPr>
        <w:tc>
          <w:tcPr>
            <w:tcW w:w="5920" w:type="dxa"/>
            <w:vAlign w:val="bottom"/>
          </w:tcPr>
          <w:p>
            <w:pPr>
              <w:ind w:left="160"/>
              <w:spacing w:after="0"/>
              <w:rPr>
                <w:sz w:val="20"/>
                <w:szCs w:val="20"/>
                <w:color w:val="auto"/>
              </w:rPr>
            </w:pPr>
            <w:r>
              <w:rPr>
                <w:rFonts w:ascii="Arial" w:cs="Arial" w:eastAsia="Arial" w:hAnsi="Arial"/>
                <w:sz w:val="15"/>
                <w:szCs w:val="15"/>
                <w:color w:val="auto"/>
              </w:rPr>
              <w:t>Realized gains (losses), net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17</w:t>
            </w:r>
          </w:p>
        </w:tc>
      </w:tr>
    </w:tbl>
    <w:p>
      <w:pPr>
        <w:spacing w:after="0" w:line="88" w:lineRule="exact"/>
        <w:rPr>
          <w:sz w:val="20"/>
          <w:szCs w:val="20"/>
          <w:color w:val="auto"/>
        </w:rPr>
      </w:pPr>
    </w:p>
    <w:p>
      <w:pPr>
        <w:ind w:left="220" w:hanging="217"/>
        <w:spacing w:after="0"/>
        <w:tabs>
          <w:tab w:leader="none" w:pos="220"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Consists of the write-off against the allowance at the time of redesignation.</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amortized cost of single-family mortgage loans for which formal foreclosure proceedings were in process was $4.4 billion as of June 30, 2024 and $4.6 billion as of December 31, 2023. As a result of our various loss mitigation and foreclosure prevention efforts, we expect that a portion of the loans in the process of formal foreclosure proceedings will not ultimately foreclose.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361950</wp:posOffset>
            </wp:positionV>
            <wp:extent cx="680593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48" w:right="399" w:bottom="1440" w:gutter="0" w:footer="0" w:header="0"/>
        </w:sectPr>
      </w:pPr>
    </w:p>
    <w:bookmarkStart w:id="74" w:name="page75"/>
    <w:bookmarkEnd w:id="74"/>
    <w:p>
      <w:pPr>
        <w:jc w:val="right"/>
        <w:ind w:right="10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Aging Analysis</w:t>
      </w:r>
    </w:p>
    <w:p>
      <w:pPr>
        <w:spacing w:after="0" w:line="68"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The following tables display an aging analysis of the total amortized cost of our HFI mortgage loans by portfolio segment and class of financing receivable, excluding loans for which we have elected the fair value option.</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Single-family:</w:t>
      </w:r>
    </w:p>
    <w:p>
      <w:pPr>
        <w:spacing w:after="0" w:line="136" w:lineRule="exact"/>
        <w:rPr>
          <w:sz w:val="20"/>
          <w:szCs w:val="20"/>
          <w:color w:val="auto"/>
        </w:rPr>
      </w:pPr>
    </w:p>
    <w:p>
      <w:pPr>
        <w:jc w:val="both"/>
        <w:ind w:left="320" w:right="220" w:hanging="154"/>
        <w:spacing w:after="0" w:line="283" w:lineRule="auto"/>
        <w:rPr>
          <w:sz w:val="20"/>
          <w:szCs w:val="20"/>
          <w:color w:val="auto"/>
        </w:rPr>
      </w:pPr>
      <w:r>
        <w:rPr>
          <w:rFonts w:ascii="Arial" w:cs="Arial" w:eastAsia="Arial" w:hAnsi="Arial"/>
          <w:sz w:val="13"/>
          <w:szCs w:val="13"/>
          <w:color w:val="auto"/>
        </w:rPr>
        <w:t>20- and 30-year or more, amortizing fixed-rate</w:t>
      </w:r>
    </w:p>
    <w:p>
      <w:pPr>
        <w:spacing w:after="0" w:line="90" w:lineRule="exact"/>
        <w:rPr>
          <w:sz w:val="20"/>
          <w:szCs w:val="20"/>
          <w:color w:val="auto"/>
        </w:rPr>
      </w:pPr>
    </w:p>
    <w:p>
      <w:pPr>
        <w:ind w:left="320" w:hanging="154"/>
        <w:spacing w:after="0" w:line="318" w:lineRule="auto"/>
        <w:rPr>
          <w:sz w:val="20"/>
          <w:szCs w:val="20"/>
          <w:color w:val="auto"/>
        </w:rPr>
      </w:pPr>
      <w:r>
        <w:rPr>
          <w:rFonts w:ascii="Arial" w:cs="Arial" w:eastAsia="Arial" w:hAnsi="Arial"/>
          <w:sz w:val="13"/>
          <w:szCs w:val="13"/>
          <w:color w:val="auto"/>
        </w:rPr>
        <w:t>15-year or less, amortizing fixed-rate</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Adjustable-rate</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05600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single-family</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Multifamily</w:t>
      </w:r>
      <w:r>
        <w:rPr>
          <w:rFonts w:ascii="Arial" w:cs="Arial" w:eastAsia="Arial" w:hAnsi="Arial"/>
          <w:sz w:val="17"/>
          <w:szCs w:val="17"/>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05600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0560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560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05600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Single-family:</w:t>
      </w:r>
    </w:p>
    <w:p>
      <w:pPr>
        <w:spacing w:after="0" w:line="136" w:lineRule="exact"/>
        <w:rPr>
          <w:sz w:val="20"/>
          <w:szCs w:val="20"/>
          <w:color w:val="auto"/>
        </w:rPr>
      </w:pPr>
    </w:p>
    <w:p>
      <w:pPr>
        <w:jc w:val="both"/>
        <w:ind w:left="320" w:right="220" w:hanging="154"/>
        <w:spacing w:after="0" w:line="293" w:lineRule="auto"/>
        <w:rPr>
          <w:sz w:val="20"/>
          <w:szCs w:val="20"/>
          <w:color w:val="auto"/>
        </w:rPr>
      </w:pPr>
      <w:r>
        <w:rPr>
          <w:rFonts w:ascii="Arial" w:cs="Arial" w:eastAsia="Arial" w:hAnsi="Arial"/>
          <w:sz w:val="13"/>
          <w:szCs w:val="13"/>
          <w:color w:val="auto"/>
        </w:rPr>
        <w:t>20- and 30-year or more, amortizing fixed-rate</w:t>
      </w:r>
    </w:p>
    <w:p>
      <w:pPr>
        <w:spacing w:after="0" w:line="71" w:lineRule="exact"/>
        <w:rPr>
          <w:sz w:val="20"/>
          <w:szCs w:val="20"/>
          <w:color w:val="auto"/>
        </w:rPr>
      </w:pPr>
    </w:p>
    <w:p>
      <w:pPr>
        <w:ind w:left="320" w:hanging="154"/>
        <w:spacing w:after="0" w:line="318" w:lineRule="auto"/>
        <w:rPr>
          <w:sz w:val="20"/>
          <w:szCs w:val="20"/>
          <w:color w:val="auto"/>
        </w:rPr>
      </w:pPr>
      <w:r>
        <w:rPr>
          <w:rFonts w:ascii="Arial" w:cs="Arial" w:eastAsia="Arial" w:hAnsi="Arial"/>
          <w:sz w:val="13"/>
          <w:szCs w:val="13"/>
          <w:color w:val="auto"/>
        </w:rPr>
        <w:t>15-year or less, amortizing fixed-rate</w:t>
      </w:r>
    </w:p>
    <w:p>
      <w:pPr>
        <w:spacing w:after="0" w:line="68" w:lineRule="exact"/>
        <w:rPr>
          <w:sz w:val="20"/>
          <w:szCs w:val="20"/>
          <w:color w:val="auto"/>
        </w:rPr>
      </w:pPr>
    </w:p>
    <w:p>
      <w:pPr>
        <w:ind w:left="180" w:right="480"/>
        <w:spacing w:after="0" w:line="451" w:lineRule="auto"/>
        <w:rPr>
          <w:sz w:val="20"/>
          <w:szCs w:val="20"/>
          <w:color w:val="auto"/>
        </w:rPr>
      </w:pPr>
      <w:r>
        <w:rPr>
          <w:rFonts w:ascii="Arial" w:cs="Arial" w:eastAsia="Arial" w:hAnsi="Arial"/>
          <w:sz w:val="14"/>
          <w:szCs w:val="14"/>
          <w:color w:val="auto"/>
        </w:rPr>
        <w:t>Adjustable-rate Other</w:t>
      </w:r>
      <w:r>
        <w:rPr>
          <w:rFonts w:ascii="Arial" w:cs="Arial" w:eastAsia="Arial" w:hAnsi="Arial"/>
          <w:sz w:val="8"/>
          <w:szCs w:val="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10807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20" w:right="460"/>
        <w:spacing w:after="0" w:line="486" w:lineRule="auto"/>
        <w:rPr>
          <w:sz w:val="20"/>
          <w:szCs w:val="20"/>
          <w:color w:val="auto"/>
        </w:rPr>
      </w:pPr>
      <w:r>
        <w:rPr>
          <w:rFonts w:ascii="Arial" w:cs="Arial" w:eastAsia="Arial" w:hAnsi="Arial"/>
          <w:sz w:val="13"/>
          <w:szCs w:val="13"/>
          <w:color w:val="auto"/>
        </w:rPr>
        <w:t>Total single-family Multifamily</w:t>
      </w:r>
      <w:r>
        <w:rPr>
          <w:rFonts w:ascii="Arial" w:cs="Arial" w:eastAsia="Arial" w:hAnsi="Arial"/>
          <w:sz w:val="7"/>
          <w:szCs w:val="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10807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0807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807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0807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60007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116" w:lineRule="exact"/>
        <w:rPr>
          <w:sz w:val="20"/>
          <w:szCs w:val="20"/>
          <w:color w:val="auto"/>
        </w:rPr>
      </w:pPr>
    </w:p>
    <w:tbl>
      <w:tblPr>
        <w:tblLayout w:type="fixed"/>
        <w:tblInd w:w="140" w:type="dxa"/>
        <w:tblCellMar>
          <w:top w:w="0" w:type="dxa"/>
          <w:left w:w="0" w:type="dxa"/>
          <w:bottom w:w="0" w:type="dxa"/>
          <w:right w:w="0" w:type="dxa"/>
        </w:tblCellMar>
      </w:tblPr>
      <w:tr>
        <w:trPr>
          <w:trHeight w:val="168"/>
        </w:trPr>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7"/>
              </w:rPr>
              <w:t>Loans 90 Days</w:t>
            </w:r>
          </w:p>
        </w:tc>
        <w:tc>
          <w:tcPr>
            <w:tcW w:w="1060" w:type="dxa"/>
            <w:vAlign w:val="bottom"/>
          </w:tcPr>
          <w:p>
            <w:pPr>
              <w:spacing w:after="0"/>
              <w:rPr>
                <w:sz w:val="14"/>
                <w:szCs w:val="14"/>
                <w:color w:val="auto"/>
              </w:rPr>
            </w:pPr>
          </w:p>
        </w:tc>
      </w:tr>
      <w:tr>
        <w:trPr>
          <w:trHeight w:val="155"/>
        </w:trPr>
        <w:tc>
          <w:tcPr>
            <w:tcW w:w="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tcPr>
          <w:p>
            <w:pPr>
              <w:jc w:val="center"/>
              <w:ind w:left="91"/>
              <w:spacing w:after="0" w:line="155" w:lineRule="exact"/>
              <w:rPr>
                <w:sz w:val="20"/>
                <w:szCs w:val="20"/>
                <w:color w:val="auto"/>
              </w:rPr>
            </w:pPr>
            <w:r>
              <w:rPr>
                <w:rFonts w:ascii="Arial" w:cs="Arial" w:eastAsia="Arial" w:hAnsi="Arial"/>
                <w:sz w:val="14"/>
                <w:szCs w:val="14"/>
                <w:b w:val="1"/>
                <w:bCs w:val="1"/>
                <w:color w:val="auto"/>
              </w:rPr>
              <w:t>or More</w:t>
            </w:r>
          </w:p>
        </w:tc>
        <w:tc>
          <w:tcPr>
            <w:tcW w:w="1060" w:type="dxa"/>
            <w:vAlign w:val="bottom"/>
          </w:tcPr>
          <w:p>
            <w:pPr>
              <w:spacing w:after="0"/>
              <w:rPr>
                <w:sz w:val="13"/>
                <w:szCs w:val="13"/>
                <w:color w:val="auto"/>
              </w:rPr>
            </w:pPr>
          </w:p>
        </w:tc>
      </w:tr>
      <w:tr>
        <w:trPr>
          <w:trHeight w:val="168"/>
        </w:trPr>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8"/>
              </w:rPr>
              <w:t>Delinquent and</w:t>
            </w:r>
          </w:p>
        </w:tc>
        <w:tc>
          <w:tcPr>
            <w:tcW w:w="1060" w:type="dxa"/>
            <w:vAlign w:val="bottom"/>
          </w:tcPr>
          <w:p>
            <w:pPr>
              <w:jc w:val="center"/>
              <w:ind w:left="51"/>
              <w:spacing w:after="0"/>
              <w:rPr>
                <w:sz w:val="20"/>
                <w:szCs w:val="20"/>
                <w:color w:val="auto"/>
              </w:rPr>
            </w:pPr>
            <w:r>
              <w:rPr>
                <w:rFonts w:ascii="Arial" w:cs="Arial" w:eastAsia="Arial" w:hAnsi="Arial"/>
                <w:sz w:val="14"/>
                <w:szCs w:val="14"/>
                <w:b w:val="1"/>
                <w:bCs w:val="1"/>
                <w:color w:val="auto"/>
                <w:w w:val="96"/>
              </w:rPr>
              <w:t>Nonaccrual</w:t>
            </w:r>
          </w:p>
        </w:tc>
      </w:tr>
      <w:tr>
        <w:trPr>
          <w:trHeight w:val="166"/>
        </w:trPr>
        <w:tc>
          <w:tcPr>
            <w:tcW w:w="980" w:type="dxa"/>
            <w:vAlign w:val="bottom"/>
          </w:tcPr>
          <w:p>
            <w:pPr>
              <w:jc w:val="center"/>
              <w:ind w:right="111"/>
              <w:spacing w:after="0"/>
              <w:rPr>
                <w:sz w:val="20"/>
                <w:szCs w:val="20"/>
                <w:color w:val="auto"/>
              </w:rPr>
            </w:pPr>
            <w:r>
              <w:rPr>
                <w:rFonts w:ascii="Arial" w:cs="Arial" w:eastAsia="Arial" w:hAnsi="Arial"/>
                <w:sz w:val="14"/>
                <w:szCs w:val="14"/>
                <w:b w:val="1"/>
                <w:bCs w:val="1"/>
                <w:color w:val="auto"/>
                <w:w w:val="98"/>
              </w:rPr>
              <w:t>30 - 59 Days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8"/>
              </w:rPr>
              <w:t>60 - 89 Days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8"/>
              </w:rPr>
              <w:t>Seriously</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8"/>
              </w:rPr>
              <w:t>Accruing</w:t>
            </w:r>
          </w:p>
        </w:tc>
        <w:tc>
          <w:tcPr>
            <w:tcW w:w="1060" w:type="dxa"/>
            <w:vAlign w:val="bottom"/>
          </w:tcPr>
          <w:p>
            <w:pPr>
              <w:jc w:val="center"/>
              <w:ind w:left="51"/>
              <w:spacing w:after="0"/>
              <w:rPr>
                <w:sz w:val="20"/>
                <w:szCs w:val="20"/>
                <w:color w:val="auto"/>
              </w:rPr>
            </w:pPr>
            <w:r>
              <w:rPr>
                <w:rFonts w:ascii="Arial" w:cs="Arial" w:eastAsia="Arial" w:hAnsi="Arial"/>
                <w:sz w:val="14"/>
                <w:szCs w:val="14"/>
                <w:b w:val="1"/>
                <w:bCs w:val="1"/>
                <w:color w:val="auto"/>
                <w:w w:val="98"/>
              </w:rPr>
              <w:t>Loans with No</w:t>
            </w:r>
          </w:p>
        </w:tc>
      </w:tr>
      <w:tr>
        <w:trPr>
          <w:trHeight w:val="242"/>
        </w:trPr>
        <w:tc>
          <w:tcPr>
            <w:tcW w:w="980" w:type="dxa"/>
            <w:vAlign w:val="bottom"/>
          </w:tcPr>
          <w:p>
            <w:pPr>
              <w:jc w:val="center"/>
              <w:ind w:right="111"/>
              <w:spacing w:after="0"/>
              <w:rPr>
                <w:sz w:val="20"/>
                <w:szCs w:val="20"/>
                <w:color w:val="auto"/>
              </w:rPr>
            </w:pPr>
            <w:r>
              <w:rPr>
                <w:rFonts w:ascii="Arial" w:cs="Arial" w:eastAsia="Arial" w:hAnsi="Arial"/>
                <w:sz w:val="14"/>
                <w:szCs w:val="14"/>
                <w:b w:val="1"/>
                <w:bCs w:val="1"/>
                <w:color w:val="auto"/>
                <w:w w:val="99"/>
              </w:rPr>
              <w:t>Delinquent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(1)</w:t>
            </w:r>
          </w:p>
        </w:tc>
        <w:tc>
          <w:tcPr>
            <w:tcW w:w="122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Delinquent</w:t>
            </w:r>
          </w:p>
        </w:tc>
        <w:tc>
          <w:tcPr>
            <w:tcW w:w="1200" w:type="dxa"/>
            <w:vAlign w:val="bottom"/>
          </w:tcPr>
          <w:p>
            <w:pPr>
              <w:ind w:left="300"/>
              <w:spacing w:after="0"/>
              <w:rPr>
                <w:sz w:val="20"/>
                <w:szCs w:val="20"/>
                <w:color w:val="auto"/>
              </w:rPr>
            </w:pPr>
            <w:r>
              <w:rPr>
                <w:rFonts w:ascii="Arial" w:cs="Arial" w:eastAsia="Arial" w:hAnsi="Arial"/>
                <w:sz w:val="14"/>
                <w:szCs w:val="14"/>
                <w:b w:val="1"/>
                <w:bCs w:val="1"/>
                <w:color w:val="auto"/>
              </w:rPr>
              <w:t>Current</w:t>
            </w: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4"/>
              </w:rPr>
              <w:t>Interest</w:t>
            </w:r>
          </w:p>
        </w:tc>
        <w:tc>
          <w:tcPr>
            <w:tcW w:w="1060" w:type="dxa"/>
            <w:vAlign w:val="bottom"/>
          </w:tcPr>
          <w:p>
            <w:pPr>
              <w:jc w:val="center"/>
              <w:ind w:left="31"/>
              <w:spacing w:after="0"/>
              <w:rPr>
                <w:sz w:val="20"/>
                <w:szCs w:val="20"/>
                <w:color w:val="auto"/>
              </w:rPr>
            </w:pPr>
            <w:r>
              <w:rPr>
                <w:rFonts w:ascii="Arial" w:cs="Arial" w:eastAsia="Arial" w:hAnsi="Arial"/>
                <w:sz w:val="14"/>
                <w:szCs w:val="14"/>
                <w:b w:val="1"/>
                <w:bCs w:val="1"/>
                <w:color w:val="auto"/>
                <w:w w:val="98"/>
              </w:rPr>
              <w:t>Allowance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wp:posOffset>
            </wp:positionV>
            <wp:extent cx="60007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33,669</w:t>
            </w:r>
          </w:p>
        </w:tc>
        <w:tc>
          <w:tcPr>
            <w:tcW w:w="100" w:type="dxa"/>
            <w:vAlign w:val="bottom"/>
          </w:tcPr>
          <w:p>
            <w:pPr>
              <w:spacing w:after="0"/>
              <w:rPr>
                <w:sz w:val="15"/>
                <w:szCs w:val="15"/>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7,696</w:t>
            </w:r>
          </w:p>
        </w:tc>
        <w:tc>
          <w:tcPr>
            <w:tcW w:w="100" w:type="dxa"/>
            <w:vAlign w:val="bottom"/>
          </w:tcPr>
          <w:p>
            <w:pPr>
              <w:spacing w:after="0"/>
              <w:rPr>
                <w:sz w:val="15"/>
                <w:szCs w:val="15"/>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16,600</w:t>
            </w:r>
          </w:p>
        </w:tc>
        <w:tc>
          <w:tcPr>
            <w:tcW w:w="10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57,965</w:t>
            </w:r>
          </w:p>
        </w:tc>
        <w:tc>
          <w:tcPr>
            <w:tcW w:w="100" w:type="dxa"/>
            <w:vAlign w:val="bottom"/>
          </w:tcPr>
          <w:p>
            <w:pPr>
              <w:spacing w:after="0"/>
              <w:rPr>
                <w:sz w:val="15"/>
                <w:szCs w:val="15"/>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3,168,651</w:t>
            </w:r>
          </w:p>
        </w:tc>
        <w:tc>
          <w:tcPr>
            <w:tcW w:w="10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3,226,616</w:t>
            </w:r>
          </w:p>
        </w:tc>
        <w:tc>
          <w:tcPr>
            <w:tcW w:w="120" w:type="dxa"/>
            <w:vAlign w:val="bottom"/>
          </w:tcPr>
          <w:p>
            <w:pPr>
              <w:spacing w:after="0"/>
              <w:rPr>
                <w:sz w:val="15"/>
                <w:szCs w:val="15"/>
                <w:color w:val="auto"/>
              </w:rPr>
            </w:pP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568</w:t>
            </w:r>
          </w:p>
        </w:tc>
        <w:tc>
          <w:tcPr>
            <w:tcW w:w="120" w:type="dxa"/>
            <w:vAlign w:val="bottom"/>
          </w:tcPr>
          <w:p>
            <w:pPr>
              <w:spacing w:after="0"/>
              <w:rPr>
                <w:sz w:val="15"/>
                <w:szCs w:val="15"/>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3,128</w:t>
            </w:r>
          </w:p>
        </w:tc>
      </w:tr>
      <w:tr>
        <w:trPr>
          <w:trHeight w:val="464"/>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1,775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2,609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395,554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398,163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188</w:t>
            </w:r>
          </w:p>
        </w:tc>
      </w:tr>
      <w:tr>
        <w:trPr>
          <w:trHeight w:val="297"/>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25,619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25,923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300"/>
        </w:trPr>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1,175</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21,484</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22,659</w:t>
            </w:r>
          </w:p>
        </w:tc>
        <w:tc>
          <w:tcPr>
            <w:tcW w:w="12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179</w:t>
            </w:r>
          </w:p>
        </w:tc>
      </w:tr>
      <w:tr>
        <w:trPr>
          <w:trHeight w:val="286"/>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36,203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8,183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17,667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62,053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3,611,308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3,673,361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3,510</w:t>
            </w:r>
          </w:p>
        </w:tc>
      </w:tr>
      <w:tr>
        <w:trPr>
          <w:trHeight w:val="300"/>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2,499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468,367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470,866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551</w:t>
            </w:r>
          </w:p>
        </w:tc>
      </w:tr>
      <w:tr>
        <w:trPr>
          <w:trHeight w:val="289"/>
        </w:trPr>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37,138</w:t>
            </w:r>
          </w:p>
        </w:tc>
        <w:tc>
          <w:tcPr>
            <w:tcW w:w="100" w:type="dxa"/>
            <w:vAlign w:val="bottom"/>
          </w:tcPr>
          <w:p>
            <w:pPr>
              <w:spacing w:after="0"/>
              <w:rPr>
                <w:sz w:val="24"/>
                <w:szCs w:val="24"/>
                <w:color w:val="auto"/>
              </w:rPr>
            </w:pPr>
          </w:p>
        </w:tc>
        <w:tc>
          <w:tcPr>
            <w:tcW w:w="38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8,183</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19,231</w:t>
            </w:r>
          </w:p>
        </w:tc>
        <w:tc>
          <w:tcPr>
            <w:tcW w:w="100" w:type="dxa"/>
            <w:vAlign w:val="bottom"/>
          </w:tcPr>
          <w:p>
            <w:pPr>
              <w:spacing w:after="0"/>
              <w:rPr>
                <w:sz w:val="24"/>
                <w:szCs w:val="24"/>
                <w:color w:val="auto"/>
              </w:rPr>
            </w:pPr>
          </w:p>
        </w:tc>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64,552</w:t>
            </w:r>
          </w:p>
        </w:tc>
        <w:tc>
          <w:tcPr>
            <w:tcW w:w="100" w:type="dxa"/>
            <w:vAlign w:val="bottom"/>
          </w:tcPr>
          <w:p>
            <w:pPr>
              <w:spacing w:after="0"/>
              <w:rPr>
                <w:sz w:val="24"/>
                <w:szCs w:val="24"/>
                <w:color w:val="auto"/>
              </w:rPr>
            </w:pPr>
          </w:p>
        </w:tc>
        <w:tc>
          <w:tcPr>
            <w:tcW w:w="280" w:type="dxa"/>
            <w:vAlign w:val="bottom"/>
            <w:tcBorders>
              <w:top w:val="single" w:sz="8" w:color="2C6937"/>
              <w:bottom w:val="single" w:sz="8" w:color="2C6937"/>
            </w:tcBorders>
          </w:tcPr>
          <w:p>
            <w:pPr>
              <w:jc w:val="right"/>
              <w:ind w:right="11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4,079,675</w:t>
            </w:r>
          </w:p>
        </w:tc>
        <w:tc>
          <w:tcPr>
            <w:tcW w:w="10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4,144,227</w:t>
            </w:r>
          </w:p>
        </w:tc>
        <w:tc>
          <w:tcPr>
            <w:tcW w:w="120" w:type="dxa"/>
            <w:vAlign w:val="bottom"/>
          </w:tcPr>
          <w:p>
            <w:pPr>
              <w:spacing w:after="0"/>
              <w:rPr>
                <w:sz w:val="24"/>
                <w:szCs w:val="24"/>
                <w:color w:val="auto"/>
              </w:rPr>
            </w:pPr>
          </w:p>
        </w:tc>
        <w:tc>
          <w:tcPr>
            <w:tcW w:w="420" w:type="dxa"/>
            <w:vAlign w:val="bottom"/>
            <w:tcBorders>
              <w:top w:val="single" w:sz="8" w:color="2C6937"/>
              <w:bottom w:val="single" w:sz="8" w:color="2C6937"/>
            </w:tcBorders>
          </w:tcPr>
          <w:p>
            <w:pPr>
              <w:jc w:val="right"/>
              <w:ind w:right="271"/>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748</w:t>
            </w:r>
          </w:p>
        </w:tc>
        <w:tc>
          <w:tcPr>
            <w:tcW w:w="120" w:type="dxa"/>
            <w:vAlign w:val="bottom"/>
          </w:tcPr>
          <w:p>
            <w:pPr>
              <w:spacing w:after="0"/>
              <w:rPr>
                <w:sz w:val="24"/>
                <w:szCs w:val="24"/>
                <w:color w:val="auto"/>
              </w:rPr>
            </w:pPr>
          </w:p>
        </w:tc>
        <w:tc>
          <w:tcPr>
            <w:tcW w:w="38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4,061</w:t>
            </w:r>
          </w:p>
        </w:tc>
      </w:tr>
      <w:tr>
        <w:trPr>
          <w:trHeight w:val="22"/>
        </w:trPr>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bl>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18415</wp:posOffset>
            </wp:positionV>
            <wp:extent cx="599249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92495" cy="8255"/>
                    </a:xfrm>
                    <a:prstGeom prst="rect">
                      <a:avLst/>
                    </a:prstGeom>
                    <a:noFill/>
                  </pic:spPr>
                </pic:pic>
              </a:graphicData>
            </a:graphic>
          </wp:anchor>
        </w:drawing>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7"/>
              </w:rPr>
              <w:t>Loans 90 Days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91"/>
              <w:spacing w:after="0"/>
              <w:rPr>
                <w:sz w:val="20"/>
                <w:szCs w:val="20"/>
                <w:color w:val="auto"/>
              </w:rPr>
            </w:pPr>
            <w:r>
              <w:rPr>
                <w:rFonts w:ascii="Arial" w:cs="Arial" w:eastAsia="Arial" w:hAnsi="Arial"/>
                <w:sz w:val="14"/>
                <w:szCs w:val="14"/>
                <w:b w:val="1"/>
                <w:bCs w:val="1"/>
                <w:color w:val="auto"/>
                <w:w w:val="97"/>
              </w:rPr>
              <w:t>or More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30 - 59 Days</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60 - 89 Days</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Seriously</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8"/>
              </w:rPr>
              <w:t>Delinquent and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Nonaccrual</w:t>
            </w: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jc w:val="center"/>
              <w:ind w:left="71"/>
              <w:spacing w:after="0" w:line="155" w:lineRule="exact"/>
              <w:rPr>
                <w:sz w:val="20"/>
                <w:szCs w:val="20"/>
                <w:color w:val="auto"/>
              </w:rPr>
            </w:pPr>
            <w:r>
              <w:rPr>
                <w:rFonts w:ascii="Arial" w:cs="Arial" w:eastAsia="Arial" w:hAnsi="Arial"/>
                <w:sz w:val="14"/>
                <w:szCs w:val="14"/>
                <w:b w:val="1"/>
                <w:bCs w:val="1"/>
                <w:color w:val="auto"/>
                <w:w w:val="98"/>
              </w:rPr>
              <w:t>Accruing</w:t>
            </w:r>
          </w:p>
        </w:tc>
        <w:tc>
          <w:tcPr>
            <w:tcW w:w="11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Loans with No</w:t>
            </w:r>
          </w:p>
        </w:tc>
        <w:tc>
          <w:tcPr>
            <w:tcW w:w="0" w:type="dxa"/>
            <w:vAlign w:val="bottom"/>
          </w:tcPr>
          <w:p>
            <w:pPr>
              <w:spacing w:after="0"/>
              <w:rPr>
                <w:sz w:val="1"/>
                <w:szCs w:val="1"/>
                <w:color w:val="auto"/>
              </w:rPr>
            </w:pPr>
          </w:p>
        </w:tc>
      </w:tr>
      <w:tr>
        <w:trPr>
          <w:trHeight w:val="202"/>
        </w:trPr>
        <w:tc>
          <w:tcPr>
            <w:tcW w:w="11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1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r>
              <w:rPr>
                <w:rFonts w:ascii="Arial" w:cs="Arial" w:eastAsia="Arial" w:hAnsi="Arial"/>
                <w:sz w:val="8"/>
                <w:szCs w:val="8"/>
                <w:b w:val="1"/>
                <w:bCs w:val="1"/>
                <w:color w:val="auto"/>
                <w:w w:val="99"/>
              </w:rPr>
              <w:t>(1)</w:t>
            </w:r>
          </w:p>
        </w:tc>
        <w:tc>
          <w:tcPr>
            <w:tcW w:w="12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00" w:type="dxa"/>
            <w:vAlign w:val="bottom"/>
            <w:tcBorders>
              <w:bottom w:val="single" w:sz="8" w:color="2C6937"/>
            </w:tcBorders>
          </w:tcPr>
          <w:p>
            <w:pPr>
              <w:ind w:left="300"/>
              <w:spacing w:after="0"/>
              <w:rPr>
                <w:sz w:val="20"/>
                <w:szCs w:val="20"/>
                <w:color w:val="auto"/>
              </w:rPr>
            </w:pPr>
            <w:r>
              <w:rPr>
                <w:rFonts w:ascii="Arial" w:cs="Arial" w:eastAsia="Arial" w:hAnsi="Arial"/>
                <w:sz w:val="14"/>
                <w:szCs w:val="14"/>
                <w:b w:val="1"/>
                <w:bCs w:val="1"/>
                <w:color w:val="auto"/>
              </w:rPr>
              <w:t>Current</w:t>
            </w:r>
          </w:p>
        </w:tc>
        <w:tc>
          <w:tcPr>
            <w:tcW w:w="980" w:type="dxa"/>
            <w:vAlign w:val="bottom"/>
            <w:tcBorders>
              <w:bottom w:val="single" w:sz="8" w:color="2C6937"/>
            </w:tcBorders>
          </w:tcPr>
          <w:p>
            <w:pPr>
              <w:ind w:left="400"/>
              <w:spacing w:after="0"/>
              <w:rPr>
                <w:sz w:val="20"/>
                <w:szCs w:val="20"/>
                <w:color w:val="auto"/>
              </w:rPr>
            </w:pPr>
            <w:r>
              <w:rPr>
                <w:rFonts w:ascii="Arial" w:cs="Arial" w:eastAsia="Arial" w:hAnsi="Arial"/>
                <w:sz w:val="14"/>
                <w:szCs w:val="14"/>
                <w:b w:val="1"/>
                <w:bCs w:val="1"/>
                <w:color w:val="auto"/>
              </w:rPr>
              <w:t>Total</w:t>
            </w:r>
          </w:p>
        </w:tc>
        <w:tc>
          <w:tcPr>
            <w:tcW w:w="1380" w:type="dxa"/>
            <w:vAlign w:val="bottom"/>
            <w:tcBorders>
              <w:bottom w:val="single" w:sz="8" w:color="2C6937"/>
            </w:tcBorders>
          </w:tcPr>
          <w:p>
            <w:pPr>
              <w:jc w:val="center"/>
              <w:ind w:left="91"/>
              <w:spacing w:after="0"/>
              <w:rPr>
                <w:sz w:val="20"/>
                <w:szCs w:val="20"/>
                <w:color w:val="auto"/>
              </w:rPr>
            </w:pPr>
            <w:r>
              <w:rPr>
                <w:rFonts w:ascii="Arial" w:cs="Arial" w:eastAsia="Arial" w:hAnsi="Arial"/>
                <w:sz w:val="14"/>
                <w:szCs w:val="14"/>
                <w:b w:val="1"/>
                <w:bCs w:val="1"/>
                <w:color w:val="auto"/>
                <w:w w:val="98"/>
              </w:rPr>
              <w:t>Interest</w:t>
            </w:r>
          </w:p>
        </w:tc>
        <w:tc>
          <w:tcPr>
            <w:tcW w:w="11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Allowance</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33,119</w:t>
            </w:r>
          </w:p>
        </w:tc>
        <w:tc>
          <w:tcPr>
            <w:tcW w:w="100" w:type="dxa"/>
            <w:vAlign w:val="bottom"/>
          </w:tcPr>
          <w:p>
            <w:pPr>
              <w:spacing w:after="0"/>
              <w:rPr>
                <w:sz w:val="15"/>
                <w:szCs w:val="15"/>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8,093</w:t>
            </w:r>
          </w:p>
        </w:tc>
        <w:tc>
          <w:tcPr>
            <w:tcW w:w="100" w:type="dxa"/>
            <w:vAlign w:val="bottom"/>
          </w:tcPr>
          <w:p>
            <w:pPr>
              <w:spacing w:after="0"/>
              <w:rPr>
                <w:sz w:val="15"/>
                <w:szCs w:val="15"/>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18,659</w:t>
            </w:r>
          </w:p>
        </w:tc>
        <w:tc>
          <w:tcPr>
            <w:tcW w:w="10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59,871</w:t>
            </w:r>
          </w:p>
        </w:tc>
        <w:tc>
          <w:tcPr>
            <w:tcW w:w="12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3,148,171</w:t>
            </w:r>
          </w:p>
        </w:tc>
        <w:tc>
          <w:tcPr>
            <w:tcW w:w="10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3,208,042</w:t>
            </w:r>
          </w:p>
        </w:tc>
        <w:tc>
          <w:tcPr>
            <w:tcW w:w="10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1,371</w:t>
            </w:r>
          </w:p>
        </w:tc>
        <w:tc>
          <w:tcPr>
            <w:tcW w:w="100" w:type="dxa"/>
            <w:vAlign w:val="bottom"/>
          </w:tcPr>
          <w:p>
            <w:pPr>
              <w:spacing w:after="0"/>
              <w:rPr>
                <w:sz w:val="15"/>
                <w:szCs w:val="15"/>
                <w:color w:val="auto"/>
              </w:rPr>
            </w:pPr>
          </w:p>
        </w:tc>
        <w:tc>
          <w:tcPr>
            <w:tcW w:w="400" w:type="dxa"/>
            <w:vAlign w:val="bottom"/>
          </w:tcPr>
          <w:p>
            <w:pPr>
              <w:jc w:val="right"/>
              <w:ind w:right="2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3,457</w:t>
            </w:r>
          </w:p>
        </w:tc>
      </w:tr>
      <w:tr>
        <w:trPr>
          <w:trHeight w:val="464"/>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1,846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2,815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425,598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428,413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w:t>
            </w:r>
          </w:p>
        </w:tc>
      </w:tr>
      <w:tr>
        <w:trPr>
          <w:trHeight w:val="297"/>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26,032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26,358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300"/>
        </w:trPr>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1,319</w:t>
            </w:r>
          </w:p>
        </w:tc>
        <w:tc>
          <w:tcPr>
            <w:tcW w:w="12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23,772</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25,091</w:t>
            </w:r>
          </w:p>
        </w:tc>
        <w:tc>
          <w:tcPr>
            <w:tcW w:w="10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228</w:t>
            </w:r>
          </w:p>
        </w:tc>
      </w:tr>
      <w:tr>
        <w:trPr>
          <w:trHeight w:val="286"/>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35,735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8,625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19,971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64,331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3,623,573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3,687,904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1,604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3,882</w:t>
            </w:r>
          </w:p>
        </w:tc>
      </w:tr>
      <w:tr>
        <w:trPr>
          <w:trHeight w:val="300"/>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1,699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2,148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459,206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461,354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594</w:t>
            </w:r>
          </w:p>
        </w:tc>
      </w:tr>
      <w:tr>
        <w:trPr>
          <w:trHeight w:val="289"/>
        </w:trPr>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36,184</w:t>
            </w:r>
          </w:p>
        </w:tc>
        <w:tc>
          <w:tcPr>
            <w:tcW w:w="100" w:type="dxa"/>
            <w:vAlign w:val="bottom"/>
          </w:tcPr>
          <w:p>
            <w:pPr>
              <w:spacing w:after="0"/>
              <w:rPr>
                <w:sz w:val="24"/>
                <w:szCs w:val="24"/>
                <w:color w:val="auto"/>
              </w:rPr>
            </w:pPr>
          </w:p>
        </w:tc>
        <w:tc>
          <w:tcPr>
            <w:tcW w:w="38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8,625</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21,670</w:t>
            </w:r>
          </w:p>
        </w:tc>
        <w:tc>
          <w:tcPr>
            <w:tcW w:w="100" w:type="dxa"/>
            <w:vAlign w:val="bottom"/>
          </w:tcPr>
          <w:p>
            <w:pPr>
              <w:spacing w:after="0"/>
              <w:rPr>
                <w:sz w:val="24"/>
                <w:szCs w:val="24"/>
                <w:color w:val="auto"/>
              </w:rPr>
            </w:pPr>
          </w:p>
        </w:tc>
        <w:tc>
          <w:tcPr>
            <w:tcW w:w="32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66,479</w:t>
            </w:r>
          </w:p>
        </w:tc>
        <w:tc>
          <w:tcPr>
            <w:tcW w:w="12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4,082,779</w:t>
            </w:r>
          </w:p>
        </w:tc>
        <w:tc>
          <w:tcPr>
            <w:tcW w:w="10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4"/>
                <w:szCs w:val="14"/>
                <w:color w:val="auto"/>
              </w:rPr>
              <w:t>4,149,258</w:t>
            </w:r>
          </w:p>
        </w:tc>
        <w:tc>
          <w:tcPr>
            <w:tcW w:w="100" w:type="dxa"/>
            <w:vAlign w:val="bottom"/>
          </w:tcPr>
          <w:p>
            <w:pPr>
              <w:spacing w:after="0"/>
              <w:rPr>
                <w:sz w:val="24"/>
                <w:szCs w:val="24"/>
                <w:color w:val="auto"/>
              </w:rPr>
            </w:pPr>
          </w:p>
        </w:tc>
        <w:tc>
          <w:tcPr>
            <w:tcW w:w="36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4"/>
                <w:szCs w:val="14"/>
                <w:color w:val="auto"/>
              </w:rPr>
              <w:t>1,775</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4,476</w:t>
            </w:r>
          </w:p>
        </w:tc>
      </w:tr>
      <w:tr>
        <w:trPr>
          <w:trHeight w:val="22"/>
        </w:trPr>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1580" w:space="180"/>
            <w:col w:w="9480"/>
          </w:cols>
          <w:pgMar w:left="320" w:top="248" w:right="339" w:bottom="1440" w:gutter="0" w:footer="0" w:header="0"/>
          <w:type w:val="continuous"/>
        </w:sectPr>
      </w:pPr>
    </w:p>
    <w:p>
      <w:pPr>
        <w:ind w:left="240" w:right="160" w:hanging="237"/>
        <w:spacing w:after="0" w:line="226" w:lineRule="auto"/>
        <w:tabs>
          <w:tab w:leader="none" w:pos="233"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Single-family seriously delinquent loans are loans that are 90 days or more past due or in the foreclosure process. Multifamily seriously delinquent loans are loans that are 60 days or more past due.</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Reverse mortgage loans included in “Other” are not aged due to their nature and are included in the current column.</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Multifamily loans 60-89 days delinquent are included in the seriously delinquent column.</w:t>
      </w:r>
    </w:p>
    <w:p>
      <w:pPr>
        <w:spacing w:after="0" w:line="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Credit Quality Indicators and Write-offs by Year of Origination</w:t>
      </w:r>
    </w:p>
    <w:p>
      <w:pPr>
        <w:spacing w:after="0" w:line="81"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The estimated mark-to-market loan-to-value (“LTV”) ratio is a primary factor we consider when estimating our allowance for loan losses for single-family loans. As LTV ratios increase, the borrower’s equity in the home decreases, which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350520</wp:posOffset>
            </wp:positionV>
            <wp:extent cx="68059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5" w:name="page76"/>
    <w:bookmarkEnd w:id="75"/>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negatively affect the borrower’s ability to refinance or to sell the property for an amount at or above the outstanding balance of the loan.</w:t>
      </w:r>
    </w:p>
    <w:p>
      <w:pPr>
        <w:spacing w:after="0" w:line="8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The following tables display information about the credit quality of our single-family HFI loans, based on total amortized cost. The tables below also include current year write-offs of our single-family HFI mortgage loans by class of financing receivable and year of origination, excluding loans for which we have elected the fair value option.</w:t>
      </w:r>
    </w:p>
    <w:p>
      <w:pPr>
        <w:spacing w:after="0" w:line="165" w:lineRule="exact"/>
        <w:rPr>
          <w:sz w:val="20"/>
          <w:szCs w:val="20"/>
          <w:color w:val="auto"/>
        </w:rPr>
      </w:pPr>
    </w:p>
    <w:p>
      <w:pPr>
        <w:jc w:val="center"/>
        <w:ind w:left="3960"/>
        <w:spacing w:after="0"/>
        <w:rPr>
          <w:sz w:val="20"/>
          <w:szCs w:val="20"/>
          <w:color w:val="auto"/>
        </w:rPr>
      </w:pPr>
      <w:r>
        <w:rPr>
          <w:rFonts w:ascii="Arial" w:cs="Arial" w:eastAsia="Arial" w:hAnsi="Arial"/>
          <w:sz w:val="13"/>
          <w:szCs w:val="13"/>
          <w:b w:val="1"/>
          <w:bCs w:val="1"/>
          <w:color w:val="auto"/>
        </w:rPr>
        <w:t>Credit Quality Indicators as of June 30, 2024 and Write-offs for the Six Months Ended June 30, 2024, by Year of</w:t>
      </w:r>
    </w:p>
    <w:p>
      <w:pPr>
        <w:spacing w:after="0" w:line="24"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635</wp:posOffset>
            </wp:positionV>
            <wp:extent cx="461708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617085" cy="825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0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6"/>
              </w:rPr>
              <w:t>(Dollars in millions)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2"/>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70,150</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173,891</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334,255</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881,378</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742,596</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748,745</w:t>
            </w:r>
          </w:p>
        </w:tc>
        <w:tc>
          <w:tcPr>
            <w:tcW w:w="12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2,951,015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19,486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71,484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80,974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18,851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2,194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1,498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194,487</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29,344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32,819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15,542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79,757</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908</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112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154</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1,357</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118,980</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278,339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431,679</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901,994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745,021</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750,603</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3,226,616</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20- and 30-year or more,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amortizing fixed-rate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54</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72</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202</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2,960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7,189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33,391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155,353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109,935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88,223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397,051</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892</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219</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3,282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7,684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33,664</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155,372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109,936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88,225</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398,163</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15-year or less, amortizing</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4,610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5,709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1,566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9,274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23,904</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806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1,568</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433</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adjustable-rate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1,115</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2,620</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5,588</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5,751</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1,572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9,277</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25,923</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adjustable-rate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18,270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18,270</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29</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18,395</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18,395</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other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414"/>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73,931</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183,004</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372,256</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1,042,440</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854,097</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864,512</w:t>
            </w:r>
          </w:p>
        </w:tc>
        <w:tc>
          <w:tcPr>
            <w:tcW w:w="12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3,390,240</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19,858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72,447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82,035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18,906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2,200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197,011</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29,588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33,046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15,715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194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80,441</w:t>
            </w:r>
          </w:p>
        </w:tc>
      </w:tr>
      <w:tr>
        <w:trPr>
          <w:trHeight w:val="278"/>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146</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925</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112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184</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1,405</w:t>
            </w:r>
          </w:p>
        </w:tc>
      </w:tr>
      <w:tr>
        <w:trPr>
          <w:trHeight w:val="26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123,377</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288,643</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470,931</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1,063,117</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856,529</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866,500</w:t>
            </w:r>
          </w:p>
        </w:tc>
        <w:tc>
          <w:tcPr>
            <w:tcW w:w="12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3,669,097</w:t>
            </w:r>
          </w:p>
        </w:tc>
      </w:tr>
      <w:tr>
        <w:trPr>
          <w:trHeight w:val="25"/>
        </w:trPr>
        <w:tc>
          <w:tcPr>
            <w:tcW w:w="38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00" w:type="dxa"/>
            <w:vAlign w:val="bottom"/>
            <w:tcBorders>
              <w:top w:val="single" w:sz="8" w:color="2C6937"/>
              <w:bottom w:val="single" w:sz="8" w:color="2C6937"/>
            </w:tcBorders>
          </w:tcPr>
          <w:p>
            <w:pPr>
              <w:spacing w:after="0"/>
              <w:rPr>
                <w:sz w:val="2"/>
                <w:szCs w:val="2"/>
                <w:color w:val="auto"/>
              </w:rPr>
            </w:pPr>
          </w:p>
        </w:tc>
        <w:tc>
          <w:tcPr>
            <w:tcW w:w="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r>
      <w:tr>
        <w:trPr>
          <w:trHeight w:val="173"/>
        </w:trPr>
        <w:tc>
          <w:tcPr>
            <w:tcW w:w="3980" w:type="dxa"/>
            <w:vAlign w:val="bottom"/>
            <w:gridSpan w:val="2"/>
          </w:tcPr>
          <w:p>
            <w:pPr>
              <w:ind w:left="440"/>
              <w:spacing w:after="0"/>
              <w:rPr>
                <w:sz w:val="20"/>
                <w:szCs w:val="20"/>
                <w:color w:val="auto"/>
              </w:rPr>
            </w:pPr>
            <w:r>
              <w:rPr>
                <w:rFonts w:ascii="Arial" w:cs="Arial" w:eastAsia="Arial" w:hAnsi="Arial"/>
                <w:sz w:val="12"/>
                <w:szCs w:val="12"/>
                <w:color w:val="auto"/>
              </w:rPr>
              <w:t>Total current-year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55</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434340</wp:posOffset>
            </wp:positionV>
            <wp:extent cx="680593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6" w:name="page77"/>
    <w:bookmarkEnd w:id="76"/>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Credit Quality Indicators as of December 31, 2023 and Write-offs for the Year Ended December 31, 2023, by</w:t>
      </w:r>
    </w:p>
    <w:p>
      <w:pPr>
        <w:spacing w:after="0" w:line="13"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635</wp:posOffset>
            </wp:positionV>
            <wp:extent cx="461708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617085"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6"/>
              </w:rPr>
              <w:t>(Dollars in millions)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2"/>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148,641</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314,384</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889,434</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767,596</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136,654</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648,964</w:t>
            </w:r>
          </w:p>
        </w:tc>
        <w:tc>
          <w:tcPr>
            <w:tcW w:w="12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2,905,673</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57,686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95,509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38,790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3,424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197,295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61,658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35,602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4,002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101,885</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1,764</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189</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172</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3,189</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268,985</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447,259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932,415</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771,430</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137,546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650,407</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3,208,042</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20- and 30-year or more,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amortizing fixed-rate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53</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560</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803</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7,110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35,224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165,294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117,795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17,162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84,222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426,807</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1,283</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319</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7,951</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35,931</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165,347</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117,797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17,162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84,225</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428,413</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15-year or less, amortizing</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1,566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4,452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5,945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1,654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9,716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24,043</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1,630</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641</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44</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adjustable-rate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2,378</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5,841</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6,047</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1,660</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712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9,720</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26,358</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adjustable-rate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19,418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19,445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81</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35</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19,573</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19,600</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other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311"/>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157,317</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354,060</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1,060,673</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887,045</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154,553</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762,320</w:t>
            </w:r>
          </w:p>
        </w:tc>
        <w:tc>
          <w:tcPr>
            <w:tcW w:w="12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3,375,968</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58,766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97,186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38,932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3,432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200,289</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62,216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35,990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4,014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102,884</w:t>
            </w:r>
          </w:p>
        </w:tc>
      </w:tr>
      <w:tr>
        <w:trPr>
          <w:trHeight w:val="278"/>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1,015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1,795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190</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208</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3,272</w:t>
            </w:r>
          </w:p>
        </w:tc>
      </w:tr>
      <w:tr>
        <w:trPr>
          <w:trHeight w:val="26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279,314</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489,031</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1,103,809</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890,887</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155,447</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763,925</w:t>
            </w:r>
          </w:p>
        </w:tc>
        <w:tc>
          <w:tcPr>
            <w:tcW w:w="12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3,682,413</w:t>
            </w:r>
          </w:p>
        </w:tc>
      </w:tr>
      <w:tr>
        <w:trPr>
          <w:trHeight w:val="25"/>
        </w:trPr>
        <w:tc>
          <w:tcPr>
            <w:tcW w:w="38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00" w:type="dxa"/>
            <w:vAlign w:val="bottom"/>
            <w:tcBorders>
              <w:top w:val="single" w:sz="8" w:color="2C6937"/>
              <w:bottom w:val="single" w:sz="8" w:color="2C6937"/>
            </w:tcBorders>
          </w:tcPr>
          <w:p>
            <w:pPr>
              <w:spacing w:after="0"/>
              <w:rPr>
                <w:sz w:val="2"/>
                <w:szCs w:val="2"/>
                <w:color w:val="auto"/>
              </w:rPr>
            </w:pPr>
          </w:p>
        </w:tc>
        <w:tc>
          <w:tcPr>
            <w:tcW w:w="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r>
      <w:tr>
        <w:trPr>
          <w:trHeight w:val="173"/>
        </w:trPr>
        <w:tc>
          <w:tcPr>
            <w:tcW w:w="3980" w:type="dxa"/>
            <w:vAlign w:val="bottom"/>
            <w:gridSpan w:val="2"/>
          </w:tcPr>
          <w:p>
            <w:pPr>
              <w:ind w:left="440"/>
              <w:spacing w:after="0"/>
              <w:rPr>
                <w:sz w:val="20"/>
                <w:szCs w:val="20"/>
                <w:color w:val="auto"/>
              </w:rPr>
            </w:pPr>
            <w:r>
              <w:rPr>
                <w:rFonts w:ascii="Arial" w:cs="Arial" w:eastAsia="Arial" w:hAnsi="Arial"/>
                <w:sz w:val="12"/>
                <w:szCs w:val="12"/>
                <w:color w:val="auto"/>
              </w:rPr>
              <w:t>Total current-year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54</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619</w:t>
            </w:r>
          </w:p>
        </w:tc>
        <w:tc>
          <w:tcPr>
            <w:tcW w:w="12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866</w:t>
            </w:r>
          </w:p>
        </w:tc>
      </w:tr>
    </w:tbl>
    <w:p>
      <w:pPr>
        <w:spacing w:after="0" w:line="135" w:lineRule="exact"/>
        <w:rPr>
          <w:sz w:val="20"/>
          <w:szCs w:val="20"/>
          <w:color w:val="auto"/>
        </w:rPr>
      </w:pPr>
    </w:p>
    <w:p>
      <w:pPr>
        <w:ind w:left="240" w:right="20" w:hanging="237"/>
        <w:spacing w:after="0" w:line="233" w:lineRule="auto"/>
        <w:tabs>
          <w:tab w:leader="none" w:pos="233"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Excludes amortized cost of $4.3 billion and $5.5 billion as of June 30, 2024 and December 31, 2023, respectively, of mortgage loans guaranteed or insured, in whole or in part, by the U.S. government or one of its agencies, which represents primarily reverse mortgages for which we do not calculate an estimated mark-to-market LTV ratio. For the three months ended June 30, 2024 and year ended December 31, 2023, it also excludes write-offs of $39 million and $7 million, respectively, of mortgage loans guaranteed or insured, in whole or in part, by the U.S. government or one of its agencies. Year of loan origination may not be the same as the period in which we subsequently acquired the loan.</w:t>
      </w:r>
    </w:p>
    <w:p>
      <w:pPr>
        <w:spacing w:after="0" w:line="26" w:lineRule="exact"/>
        <w:rPr>
          <w:rFonts w:ascii="Arial" w:cs="Arial" w:eastAsia="Arial" w:hAnsi="Arial"/>
          <w:sz w:val="18"/>
          <w:szCs w:val="18"/>
          <w:color w:val="auto"/>
          <w:vertAlign w:val="superscript"/>
        </w:rPr>
      </w:pPr>
    </w:p>
    <w:p>
      <w:pPr>
        <w:ind w:left="240" w:right="160" w:hanging="237"/>
        <w:spacing w:after="0" w:line="226" w:lineRule="auto"/>
        <w:tabs>
          <w:tab w:leader="none" w:pos="233"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The aggregate estimated mark-to-market LTV ratio is based on the unpaid principal balance of the loan divided by the estimated current value of the property as of the end of each reported period, which we calculate using an internal valuation model that estimates periodic changes in home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7" w:name="page78"/>
    <w:bookmarkEnd w:id="77"/>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40"/>
        <w:spacing w:after="0" w:line="271" w:lineRule="auto"/>
        <w:rPr>
          <w:sz w:val="20"/>
          <w:szCs w:val="20"/>
          <w:color w:val="auto"/>
        </w:rPr>
      </w:pPr>
      <w:r>
        <w:rPr>
          <w:rFonts w:ascii="Arial" w:cs="Arial" w:eastAsia="Arial" w:hAnsi="Arial"/>
          <w:sz w:val="16"/>
          <w:szCs w:val="16"/>
          <w:color w:val="auto"/>
        </w:rPr>
        <w:t>The following tables display the total amortized cost of our multifamily HFI loans by year of origination and credit-risk rating, excluding loans for which we have elected the fair value option. Property rental income and property valuations are key inputs to our internally assigned credit risk ratings. The tables below also include current year write-offs of our multifamily HFI mortgage loans by year of origination, excluding loans for which we have elected the fair value option.</w:t>
      </w:r>
    </w:p>
    <w:p>
      <w:pPr>
        <w:spacing w:after="0" w:line="200"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Credit Quality Indicators as of June 30, 2024 and Write-offs for the Six Months Ended June 30, 2024, by Year</w:t>
      </w:r>
    </w:p>
    <w:p>
      <w:pPr>
        <w:spacing w:after="0" w:line="13"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2490470</wp:posOffset>
            </wp:positionH>
            <wp:positionV relativeFrom="paragraph">
              <wp:posOffset>635</wp:posOffset>
            </wp:positionV>
            <wp:extent cx="450278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502785" cy="825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2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2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224"/>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204"/>
              <w:spacing w:after="0"/>
              <w:rPr>
                <w:sz w:val="20"/>
                <w:szCs w:val="20"/>
                <w:color w:val="auto"/>
              </w:rPr>
            </w:pPr>
            <w:r>
              <w:rPr>
                <w:rFonts w:ascii="Arial" w:cs="Arial" w:eastAsia="Arial" w:hAnsi="Arial"/>
                <w:sz w:val="14"/>
                <w:szCs w:val="14"/>
                <w:b w:val="1"/>
                <w:bCs w:val="1"/>
                <w:color w:val="auto"/>
                <w:w w:val="97"/>
              </w:rPr>
              <w:t>Prior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Total</w:t>
            </w:r>
          </w:p>
        </w:tc>
      </w:tr>
      <w:tr>
        <w:trPr>
          <w:trHeight w:val="276"/>
        </w:trPr>
        <w:tc>
          <w:tcPr>
            <w:tcW w:w="3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8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140" w:type="dxa"/>
            <w:vAlign w:val="bottom"/>
            <w:tcBorders>
              <w:top w:val="single" w:sz="8" w:color="2C6937"/>
            </w:tcBorders>
          </w:tcPr>
          <w:p>
            <w:pPr>
              <w:spacing w:after="0"/>
              <w:rPr>
                <w:sz w:val="23"/>
                <w:szCs w:val="23"/>
                <w:color w:val="auto"/>
              </w:rPr>
            </w:pPr>
          </w:p>
        </w:tc>
        <w:tc>
          <w:tcPr>
            <w:tcW w:w="66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20" w:type="dxa"/>
            <w:vAlign w:val="bottom"/>
            <w:tcBorders>
              <w:top w:val="single" w:sz="8" w:color="2C6937"/>
            </w:tcBorders>
          </w:tcPr>
          <w:p>
            <w:pPr>
              <w:spacing w:after="0"/>
              <w:rPr>
                <w:sz w:val="23"/>
                <w:szCs w:val="23"/>
                <w:color w:val="auto"/>
              </w:rPr>
            </w:pPr>
          </w:p>
        </w:tc>
        <w:tc>
          <w:tcPr>
            <w:tcW w:w="80" w:type="dxa"/>
            <w:vAlign w:val="bottom"/>
            <w:tcBorders>
              <w:top w:val="single" w:sz="8" w:color="2C6937"/>
            </w:tcBorders>
          </w:tcPr>
          <w:p>
            <w:pPr>
              <w:spacing w:after="0"/>
              <w:rPr>
                <w:sz w:val="23"/>
                <w:szCs w:val="23"/>
                <w:color w:val="auto"/>
              </w:rPr>
            </w:pPr>
          </w:p>
        </w:tc>
        <w:tc>
          <w:tcPr>
            <w:tcW w:w="160" w:type="dxa"/>
            <w:vAlign w:val="bottom"/>
            <w:tcBorders>
              <w:top w:val="single" w:sz="8" w:color="2C6937"/>
            </w:tcBorders>
          </w:tcPr>
          <w:p>
            <w:pPr>
              <w:spacing w:after="0"/>
              <w:rPr>
                <w:sz w:val="23"/>
                <w:szCs w:val="23"/>
                <w:color w:val="auto"/>
              </w:rPr>
            </w:pPr>
          </w:p>
        </w:tc>
        <w:tc>
          <w:tcPr>
            <w:tcW w:w="2020" w:type="dxa"/>
            <w:vAlign w:val="bottom"/>
            <w:tcBorders>
              <w:top w:val="single" w:sz="8" w:color="2C6937"/>
            </w:tcBorders>
            <w:gridSpan w:val="10"/>
          </w:tcPr>
          <w:p>
            <w:pPr>
              <w:jc w:val="right"/>
              <w:ind w:right="120"/>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20" w:type="dxa"/>
            <w:vAlign w:val="bottom"/>
            <w:tcBorders>
              <w:top w:val="single" w:sz="8" w:color="2C6937"/>
            </w:tcBorders>
          </w:tcPr>
          <w:p>
            <w:pPr>
              <w:spacing w:after="0"/>
              <w:rPr>
                <w:sz w:val="23"/>
                <w:szCs w:val="23"/>
                <w:color w:val="auto"/>
              </w:rPr>
            </w:pPr>
          </w:p>
        </w:tc>
        <w:tc>
          <w:tcPr>
            <w:tcW w:w="4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8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80" w:type="dxa"/>
            <w:vAlign w:val="bottom"/>
            <w:tcBorders>
              <w:top w:val="single" w:sz="8" w:color="2C6937"/>
            </w:tcBorders>
          </w:tcPr>
          <w:p>
            <w:pPr>
              <w:spacing w:after="0"/>
              <w:rPr>
                <w:sz w:val="23"/>
                <w:szCs w:val="23"/>
                <w:color w:val="auto"/>
              </w:rPr>
            </w:pPr>
          </w:p>
        </w:tc>
        <w:tc>
          <w:tcPr>
            <w:tcW w:w="220" w:type="dxa"/>
            <w:vAlign w:val="bottom"/>
          </w:tcPr>
          <w:p>
            <w:pPr>
              <w:spacing w:after="0"/>
              <w:rPr>
                <w:sz w:val="23"/>
                <w:szCs w:val="23"/>
                <w:color w:val="auto"/>
              </w:rPr>
            </w:pPr>
          </w:p>
        </w:tc>
      </w:tr>
      <w:tr>
        <w:trPr>
          <w:trHeight w:val="309"/>
        </w:trPr>
        <w:tc>
          <w:tcPr>
            <w:tcW w:w="3920" w:type="dxa"/>
            <w:vAlign w:val="bottom"/>
            <w:gridSpan w:val="3"/>
          </w:tcPr>
          <w:p>
            <w:pPr>
              <w:ind w:left="20"/>
              <w:spacing w:after="0"/>
              <w:rPr>
                <w:sz w:val="20"/>
                <w:szCs w:val="20"/>
                <w:color w:val="auto"/>
              </w:rPr>
            </w:pPr>
            <w:r>
              <w:rPr>
                <w:rFonts w:ascii="Arial" w:cs="Arial" w:eastAsia="Arial" w:hAnsi="Arial"/>
                <w:sz w:val="15"/>
                <w:szCs w:val="15"/>
                <w:color w:val="auto"/>
              </w:rPr>
              <w:t>Internally assigned credit risk rating: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7"/>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tc>
        <w:tc>
          <w:tcPr>
            <w:tcW w:w="22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15,261</w:t>
            </w:r>
          </w:p>
        </w:tc>
        <w:tc>
          <w:tcPr>
            <w:tcW w:w="10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53,341</w:t>
            </w: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50,617</w:t>
            </w:r>
          </w:p>
        </w:tc>
        <w:tc>
          <w:tcPr>
            <w:tcW w:w="10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60,102</w:t>
            </w:r>
          </w:p>
        </w:tc>
        <w:tc>
          <w:tcPr>
            <w:tcW w:w="10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72,560</w:t>
            </w:r>
          </w:p>
        </w:tc>
        <w:tc>
          <w:tcPr>
            <w:tcW w:w="12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186,999</w:t>
            </w:r>
          </w:p>
        </w:tc>
        <w:tc>
          <w:tcPr>
            <w:tcW w:w="34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438,880</w:t>
            </w:r>
          </w:p>
        </w:tc>
        <w:tc>
          <w:tcPr>
            <w:tcW w:w="220" w:type="dxa"/>
            <w:vAlign w:val="bottom"/>
          </w:tcPr>
          <w:p>
            <w:pPr>
              <w:spacing w:after="0"/>
              <w:rPr>
                <w:sz w:val="24"/>
                <w:szCs w:val="24"/>
                <w:color w:val="auto"/>
              </w:rPr>
            </w:pPr>
          </w:p>
        </w:tc>
      </w:tr>
      <w:tr>
        <w:trPr>
          <w:trHeight w:val="232"/>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419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563</w:t>
            </w:r>
          </w:p>
        </w:tc>
        <w:tc>
          <w:tcPr>
            <w:tcW w:w="220" w:type="dxa"/>
            <w:vAlign w:val="bottom"/>
          </w:tcPr>
          <w:p>
            <w:pPr>
              <w:spacing w:after="0"/>
              <w:rPr>
                <w:sz w:val="20"/>
                <w:szCs w:val="20"/>
                <w:color w:val="auto"/>
              </w:rPr>
            </w:pPr>
          </w:p>
        </w:tc>
      </w:tr>
      <w:tr>
        <w:trPr>
          <w:trHeight w:val="271"/>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772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9,520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3,583</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2,530</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15,006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31,411</w:t>
            </w:r>
          </w:p>
        </w:tc>
        <w:tc>
          <w:tcPr>
            <w:tcW w:w="220" w:type="dxa"/>
            <w:vAlign w:val="bottom"/>
          </w:tcPr>
          <w:p>
            <w:pPr>
              <w:spacing w:after="0"/>
              <w:rPr>
                <w:sz w:val="23"/>
                <w:szCs w:val="23"/>
                <w:color w:val="auto"/>
              </w:rPr>
            </w:pPr>
          </w:p>
        </w:tc>
      </w:tr>
      <w:tr>
        <w:trPr>
          <w:trHeight w:val="257"/>
        </w:trPr>
        <w:tc>
          <w:tcPr>
            <w:tcW w:w="38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tc>
        <w:tc>
          <w:tcPr>
            <w:tcW w:w="100" w:type="dxa"/>
            <w:vAlign w:val="bottom"/>
            <w:gridSpan w:val="2"/>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20" w:type="dxa"/>
            <w:vAlign w:val="bottom"/>
            <w:tcBorders>
              <w:bottom w:val="single" w:sz="8" w:color="2C6937"/>
            </w:tcBorders>
          </w:tcPr>
          <w:p>
            <w:pPr>
              <w:spacing w:after="0"/>
              <w:rPr>
                <w:sz w:val="22"/>
                <w:szCs w:val="22"/>
                <w:color w:val="auto"/>
              </w:rPr>
            </w:pPr>
          </w:p>
        </w:tc>
        <w:tc>
          <w:tcPr>
            <w:tcW w:w="80" w:type="dxa"/>
            <w:vAlign w:val="bottom"/>
            <w:tcBorders>
              <w:bottom w:val="single" w:sz="8" w:color="2C6937"/>
            </w:tcBorders>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2"/>
                <w:szCs w:val="22"/>
                <w:color w:val="auto"/>
              </w:rPr>
            </w:pPr>
          </w:p>
        </w:tc>
        <w:tc>
          <w:tcPr>
            <w:tcW w:w="2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6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6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2C6937"/>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12</w:t>
            </w:r>
          </w:p>
        </w:tc>
        <w:tc>
          <w:tcPr>
            <w:tcW w:w="220" w:type="dxa"/>
            <w:vAlign w:val="bottom"/>
          </w:tcPr>
          <w:p>
            <w:pPr>
              <w:spacing w:after="0"/>
              <w:rPr>
                <w:sz w:val="22"/>
                <w:szCs w:val="22"/>
                <w:color w:val="auto"/>
              </w:rPr>
            </w:pPr>
          </w:p>
        </w:tc>
      </w:tr>
      <w:tr>
        <w:trPr>
          <w:trHeight w:val="302"/>
        </w:trPr>
        <w:tc>
          <w:tcPr>
            <w:tcW w:w="38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w:t>
            </w:r>
          </w:p>
        </w:tc>
        <w:tc>
          <w:tcPr>
            <w:tcW w:w="100" w:type="dxa"/>
            <w:vAlign w:val="bottom"/>
            <w:gridSpan w:val="2"/>
          </w:tcPr>
          <w:p>
            <w:pPr>
              <w:spacing w:after="0"/>
              <w:rPr>
                <w:sz w:val="24"/>
                <w:szCs w:val="24"/>
                <w:color w:val="auto"/>
              </w:rPr>
            </w:pPr>
          </w:p>
        </w:tc>
        <w:tc>
          <w:tcPr>
            <w:tcW w:w="220" w:type="dxa"/>
            <w:vAlign w:val="bottom"/>
            <w:tcBorders>
              <w:bottom w:val="single" w:sz="8" w:color="2C6937"/>
            </w:tcBorders>
            <w:gridSpan w:val="2"/>
          </w:tcPr>
          <w:p>
            <w:pPr>
              <w:jc w:val="right"/>
              <w:ind w:right="120"/>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15,280</w:t>
            </w:r>
          </w:p>
        </w:tc>
        <w:tc>
          <w:tcPr>
            <w:tcW w:w="100" w:type="dxa"/>
            <w:vAlign w:val="bottom"/>
          </w:tcPr>
          <w:p>
            <w:pPr>
              <w:spacing w:after="0"/>
              <w:rPr>
                <w:sz w:val="24"/>
                <w:szCs w:val="24"/>
                <w:color w:val="auto"/>
              </w:rPr>
            </w:pPr>
          </w:p>
        </w:tc>
        <w:tc>
          <w:tcPr>
            <w:tcW w:w="260" w:type="dxa"/>
            <w:vAlign w:val="bottom"/>
            <w:tcBorders>
              <w:bottom w:val="single" w:sz="8" w:color="2C6937"/>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54,113</w:t>
            </w:r>
          </w:p>
        </w:tc>
        <w:tc>
          <w:tcPr>
            <w:tcW w:w="100" w:type="dxa"/>
            <w:vAlign w:val="bottom"/>
          </w:tcPr>
          <w:p>
            <w:pPr>
              <w:spacing w:after="0"/>
              <w:rPr>
                <w:sz w:val="24"/>
                <w:szCs w:val="24"/>
                <w:color w:val="auto"/>
              </w:rPr>
            </w:pPr>
          </w:p>
        </w:tc>
        <w:tc>
          <w:tcPr>
            <w:tcW w:w="10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60,162</w:t>
            </w:r>
          </w:p>
        </w:tc>
        <w:tc>
          <w:tcPr>
            <w:tcW w:w="100" w:type="dxa"/>
            <w:vAlign w:val="bottom"/>
          </w:tcPr>
          <w:p>
            <w:pPr>
              <w:spacing w:after="0"/>
              <w:rPr>
                <w:sz w:val="24"/>
                <w:szCs w:val="24"/>
                <w:color w:val="auto"/>
              </w:rPr>
            </w:pPr>
          </w:p>
        </w:tc>
        <w:tc>
          <w:tcPr>
            <w:tcW w:w="12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64,104</w:t>
            </w:r>
          </w:p>
        </w:tc>
        <w:tc>
          <w:tcPr>
            <w:tcW w:w="100" w:type="dxa"/>
            <w:vAlign w:val="bottom"/>
          </w:tcPr>
          <w:p>
            <w:pPr>
              <w:spacing w:after="0"/>
              <w:rPr>
                <w:sz w:val="24"/>
                <w:szCs w:val="24"/>
                <w:color w:val="auto"/>
              </w:rPr>
            </w:pPr>
          </w:p>
        </w:tc>
        <w:tc>
          <w:tcPr>
            <w:tcW w:w="1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75,104</w:t>
            </w:r>
          </w:p>
        </w:tc>
        <w:tc>
          <w:tcPr>
            <w:tcW w:w="120" w:type="dxa"/>
            <w:vAlign w:val="bottom"/>
          </w:tcPr>
          <w:p>
            <w:pPr>
              <w:spacing w:after="0"/>
              <w:rPr>
                <w:sz w:val="24"/>
                <w:szCs w:val="24"/>
                <w:color w:val="auto"/>
              </w:rPr>
            </w:pPr>
          </w:p>
        </w:tc>
        <w:tc>
          <w:tcPr>
            <w:tcW w:w="18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202,103</w:t>
            </w:r>
          </w:p>
        </w:tc>
        <w:tc>
          <w:tcPr>
            <w:tcW w:w="40" w:type="dxa"/>
            <w:vAlign w:val="bottom"/>
            <w:tcBorders>
              <w:bottom w:val="single" w:sz="8" w:color="2C6937"/>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470,866</w:t>
            </w:r>
          </w:p>
        </w:tc>
        <w:tc>
          <w:tcPr>
            <w:tcW w:w="220" w:type="dxa"/>
            <w:vAlign w:val="bottom"/>
          </w:tcPr>
          <w:p>
            <w:pPr>
              <w:spacing w:after="0"/>
              <w:rPr>
                <w:sz w:val="24"/>
                <w:szCs w:val="24"/>
                <w:color w:val="auto"/>
              </w:rPr>
            </w:pPr>
          </w:p>
        </w:tc>
      </w:tr>
      <w:tr>
        <w:trPr>
          <w:trHeight w:val="20"/>
        </w:trPr>
        <w:tc>
          <w:tcPr>
            <w:tcW w:w="38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920" w:type="dxa"/>
            <w:vAlign w:val="bottom"/>
            <w:gridSpan w:val="3"/>
          </w:tcPr>
          <w:p>
            <w:pPr>
              <w:ind w:left="440"/>
              <w:spacing w:after="0"/>
              <w:rPr>
                <w:sz w:val="20"/>
                <w:szCs w:val="20"/>
                <w:color w:val="auto"/>
              </w:rPr>
            </w:pPr>
            <w:r>
              <w:rPr>
                <w:rFonts w:ascii="Arial" w:cs="Arial" w:eastAsia="Arial" w:hAnsi="Arial"/>
                <w:sz w:val="15"/>
                <w:szCs w:val="15"/>
                <w:color w:val="auto"/>
              </w:rPr>
              <w:t>Current-year write-offs</w:t>
            </w:r>
          </w:p>
        </w:tc>
        <w:tc>
          <w:tcPr>
            <w:tcW w:w="22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88</w:t>
            </w:r>
          </w:p>
        </w:tc>
        <w:tc>
          <w:tcPr>
            <w:tcW w:w="34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171</w:t>
            </w:r>
          </w:p>
        </w:tc>
        <w:tc>
          <w:tcPr>
            <w:tcW w:w="220" w:type="dxa"/>
            <w:vAlign w:val="bottom"/>
          </w:tcPr>
          <w:p>
            <w:pPr>
              <w:spacing w:after="0"/>
              <w:rPr>
                <w:sz w:val="19"/>
                <w:szCs w:val="19"/>
                <w:color w:val="auto"/>
              </w:rPr>
            </w:pPr>
          </w:p>
        </w:tc>
      </w:tr>
      <w:tr>
        <w:trPr>
          <w:trHeight w:val="390"/>
        </w:trPr>
        <w:tc>
          <w:tcPr>
            <w:tcW w:w="3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00" w:type="dxa"/>
            <w:vAlign w:val="bottom"/>
            <w:gridSpan w:val="32"/>
          </w:tcPr>
          <w:p>
            <w:pPr>
              <w:jc w:val="right"/>
              <w:ind w:right="140"/>
              <w:spacing w:after="0"/>
              <w:rPr>
                <w:sz w:val="20"/>
                <w:szCs w:val="20"/>
                <w:color w:val="auto"/>
              </w:rPr>
            </w:pPr>
            <w:r>
              <w:rPr>
                <w:rFonts w:ascii="Arial" w:cs="Arial" w:eastAsia="Arial" w:hAnsi="Arial"/>
                <w:sz w:val="14"/>
                <w:szCs w:val="14"/>
                <w:b w:val="1"/>
                <w:bCs w:val="1"/>
                <w:color w:val="auto"/>
                <w:w w:val="97"/>
              </w:rPr>
              <w:t>Credit Quality Indicators as of December 31, 2023 and Write-offs for the Year Ended December 31, 2023, by</w:t>
            </w:r>
          </w:p>
        </w:tc>
      </w:tr>
      <w:tr>
        <w:trPr>
          <w:trHeight w:val="205"/>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20" w:type="dxa"/>
            <w:vAlign w:val="bottom"/>
            <w:tcBorders>
              <w:bottom w:val="single" w:sz="8" w:color="2C6937"/>
            </w:tcBorders>
            <w:gridSpan w:val="10"/>
          </w:tcPr>
          <w:p>
            <w:pPr>
              <w:ind w:left="2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17"/>
                <w:szCs w:val="17"/>
                <w:b w:val="1"/>
                <w:bCs w:val="1"/>
                <w:color w:val="auto"/>
                <w:vertAlign w:val="superscript"/>
              </w:rPr>
              <w:t>(1)</w:t>
            </w:r>
          </w:p>
        </w:tc>
        <w:tc>
          <w:tcPr>
            <w:tcW w:w="6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r>
      <w:tr>
        <w:trPr>
          <w:trHeight w:val="211"/>
        </w:trPr>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ind w:right="12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ind w:right="12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1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ind w:right="4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ind w:right="24"/>
              <w:spacing w:after="0"/>
              <w:rPr>
                <w:sz w:val="20"/>
                <w:szCs w:val="20"/>
                <w:color w:val="auto"/>
              </w:rPr>
            </w:pPr>
            <w:r>
              <w:rPr>
                <w:rFonts w:ascii="Arial" w:cs="Arial" w:eastAsia="Arial" w:hAnsi="Arial"/>
                <w:sz w:val="14"/>
                <w:szCs w:val="14"/>
                <w:b w:val="1"/>
                <w:bCs w:val="1"/>
                <w:color w:val="auto"/>
              </w:rPr>
              <w:t>Prior</w:t>
            </w:r>
          </w:p>
        </w:tc>
        <w:tc>
          <w:tcPr>
            <w:tcW w:w="4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w w:val="98"/>
              </w:rPr>
              <w:t>(Dollars in millions)</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309"/>
        </w:trPr>
        <w:tc>
          <w:tcPr>
            <w:tcW w:w="3920" w:type="dxa"/>
            <w:vAlign w:val="bottom"/>
            <w:gridSpan w:val="3"/>
          </w:tcPr>
          <w:p>
            <w:pPr>
              <w:ind w:left="20"/>
              <w:spacing w:after="0"/>
              <w:rPr>
                <w:sz w:val="20"/>
                <w:szCs w:val="20"/>
                <w:color w:val="auto"/>
              </w:rPr>
            </w:pPr>
            <w:r>
              <w:rPr>
                <w:rFonts w:ascii="Arial" w:cs="Arial" w:eastAsia="Arial" w:hAnsi="Arial"/>
                <w:sz w:val="15"/>
                <w:szCs w:val="15"/>
                <w:color w:val="auto"/>
              </w:rPr>
              <w:t>Internally assigned credit risk rating: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7"/>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49,944</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51,380</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60,563</w:t>
            </w:r>
          </w:p>
        </w:tc>
        <w:tc>
          <w:tcPr>
            <w:tcW w:w="26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72,791</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56,901</w:t>
            </w:r>
          </w:p>
        </w:tc>
        <w:tc>
          <w:tcPr>
            <w:tcW w:w="30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136,860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428,439</w:t>
            </w:r>
          </w:p>
        </w:tc>
      </w:tr>
      <w:tr>
        <w:trPr>
          <w:trHeight w:val="232"/>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32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46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404</w:t>
            </w:r>
          </w:p>
        </w:tc>
      </w:tr>
      <w:tr>
        <w:trPr>
          <w:trHeight w:val="271"/>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521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9,517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3,654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2,703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3,893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12,188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32,476</w:t>
            </w:r>
          </w:p>
        </w:tc>
      </w:tr>
      <w:tr>
        <w:trPr>
          <w:trHeight w:val="257"/>
        </w:trPr>
        <w:tc>
          <w:tcPr>
            <w:tcW w:w="3900" w:type="dxa"/>
            <w:vAlign w:val="bottom"/>
            <w:tcBorders>
              <w:bottom w:val="single" w:sz="8" w:color="2C6937"/>
            </w:tcBorders>
            <w:gridSpan w:val="2"/>
          </w:tcPr>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78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rPr>
              <w:t>10</w:t>
            </w:r>
          </w:p>
        </w:tc>
        <w:tc>
          <w:tcPr>
            <w:tcW w:w="60" w:type="dxa"/>
            <w:vAlign w:val="bottom"/>
            <w:tcBorders>
              <w:bottom w:val="single" w:sz="8" w:color="2C6937"/>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spacing w:after="0"/>
              <w:rPr>
                <w:sz w:val="22"/>
                <w:szCs w:val="22"/>
                <w:color w:val="auto"/>
              </w:rPr>
            </w:pPr>
          </w:p>
        </w:tc>
        <w:tc>
          <w:tcPr>
            <w:tcW w:w="24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90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35</w:t>
            </w:r>
          </w:p>
        </w:tc>
      </w:tr>
      <w:tr>
        <w:trPr>
          <w:trHeight w:val="302"/>
        </w:trPr>
        <w:tc>
          <w:tcPr>
            <w:tcW w:w="3920" w:type="dxa"/>
            <w:vAlign w:val="bottom"/>
            <w:gridSpan w:val="3"/>
          </w:tcPr>
          <w:p>
            <w:pPr>
              <w:ind w:left="320"/>
              <w:spacing w:after="0"/>
              <w:rPr>
                <w:sz w:val="20"/>
                <w:szCs w:val="20"/>
                <w:color w:val="auto"/>
              </w:rPr>
            </w:pPr>
            <w:r>
              <w:rPr>
                <w:rFonts w:ascii="Arial" w:cs="Arial" w:eastAsia="Arial" w:hAnsi="Arial"/>
                <w:sz w:val="15"/>
                <w:szCs w:val="15"/>
                <w:color w:val="auto"/>
              </w:rPr>
              <w:t>Total</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50,494</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60,908</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64,398</w:t>
            </w:r>
          </w:p>
        </w:tc>
        <w:tc>
          <w:tcPr>
            <w:tcW w:w="26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75,526</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60,850</w:t>
            </w:r>
          </w:p>
        </w:tc>
        <w:tc>
          <w:tcPr>
            <w:tcW w:w="30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149,178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461,354</w:t>
            </w:r>
          </w:p>
        </w:tc>
      </w:tr>
      <w:tr>
        <w:trPr>
          <w:trHeight w:val="20"/>
        </w:trPr>
        <w:tc>
          <w:tcPr>
            <w:tcW w:w="390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gridSpan w:val="2"/>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gridSpan w:val="2"/>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gridSpan w:val="2"/>
          </w:tcPr>
          <w:p>
            <w:pPr>
              <w:spacing w:after="0" w:line="20" w:lineRule="exact"/>
              <w:rPr>
                <w:sz w:val="1"/>
                <w:szCs w:val="1"/>
                <w:color w:val="auto"/>
              </w:rPr>
            </w:pPr>
          </w:p>
        </w:tc>
      </w:tr>
      <w:tr>
        <w:trPr>
          <w:trHeight w:val="223"/>
        </w:trPr>
        <w:tc>
          <w:tcPr>
            <w:tcW w:w="3920" w:type="dxa"/>
            <w:vAlign w:val="bottom"/>
            <w:gridSpan w:val="3"/>
          </w:tcPr>
          <w:p>
            <w:pPr>
              <w:ind w:left="440"/>
              <w:spacing w:after="0"/>
              <w:rPr>
                <w:sz w:val="20"/>
                <w:szCs w:val="20"/>
                <w:color w:val="auto"/>
              </w:rPr>
            </w:pPr>
            <w:r>
              <w:rPr>
                <w:rFonts w:ascii="Arial" w:cs="Arial" w:eastAsia="Arial" w:hAnsi="Arial"/>
                <w:sz w:val="15"/>
                <w:szCs w:val="15"/>
                <w:color w:val="auto"/>
              </w:rPr>
              <w:t>Current-year write-offs</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4</w:t>
            </w:r>
          </w:p>
        </w:tc>
        <w:tc>
          <w:tcPr>
            <w:tcW w:w="26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6</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23</w:t>
            </w:r>
          </w:p>
        </w:tc>
        <w:tc>
          <w:tcPr>
            <w:tcW w:w="30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365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401</w:t>
            </w:r>
          </w:p>
        </w:tc>
      </w:tr>
    </w:tbl>
    <w:p>
      <w:pPr>
        <w:spacing w:after="0" w:line="110" w:lineRule="exact"/>
        <w:rPr>
          <w:sz w:val="20"/>
          <w:szCs w:val="20"/>
          <w:color w:val="auto"/>
        </w:rPr>
      </w:pPr>
    </w:p>
    <w:p>
      <w:pPr>
        <w:ind w:left="220" w:hanging="217"/>
        <w:spacing w:after="0"/>
        <w:tabs>
          <w:tab w:leader="none" w:pos="220" w:val="left"/>
        </w:tabs>
        <w:numPr>
          <w:ilvl w:val="0"/>
          <w:numId w:val="72"/>
        </w:numPr>
        <w:rPr>
          <w:rFonts w:ascii="Arial" w:cs="Arial" w:eastAsia="Arial" w:hAnsi="Arial"/>
          <w:sz w:val="9"/>
          <w:szCs w:val="9"/>
          <w:color w:val="auto"/>
        </w:rPr>
      </w:pPr>
      <w:r>
        <w:rPr>
          <w:rFonts w:ascii="Arial" w:cs="Arial" w:eastAsia="Arial" w:hAnsi="Arial"/>
          <w:sz w:val="14"/>
          <w:szCs w:val="14"/>
          <w:color w:val="auto"/>
        </w:rPr>
        <w:t>Year of loan origination may not be the same as the period in which we subsequently acquired the loan.</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72"/>
        </w:numPr>
        <w:rPr>
          <w:rFonts w:ascii="Arial" w:cs="Arial" w:eastAsia="Arial" w:hAnsi="Arial"/>
          <w:sz w:val="9"/>
          <w:szCs w:val="9"/>
          <w:color w:val="auto"/>
        </w:rPr>
      </w:pPr>
      <w:r>
        <w:rPr>
          <w:rFonts w:ascii="Arial" w:cs="Arial" w:eastAsia="Arial" w:hAnsi="Arial"/>
          <w:sz w:val="14"/>
          <w:szCs w:val="14"/>
          <w:color w:val="auto"/>
        </w:rPr>
        <w:t>A loan categorized as “Pass” is current or adequately protected by the current financial strength and debt service capability of the borrower.</w:t>
      </w:r>
    </w:p>
    <w:p>
      <w:pPr>
        <w:spacing w:after="0" w:line="45" w:lineRule="exact"/>
        <w:rPr>
          <w:rFonts w:ascii="Arial" w:cs="Arial" w:eastAsia="Arial" w:hAnsi="Arial"/>
          <w:sz w:val="9"/>
          <w:szCs w:val="9"/>
          <w:color w:val="auto"/>
        </w:rPr>
      </w:pPr>
    </w:p>
    <w:p>
      <w:pPr>
        <w:ind w:left="240" w:right="120" w:hanging="237"/>
        <w:spacing w:after="0" w:line="226" w:lineRule="auto"/>
        <w:tabs>
          <w:tab w:leader="none" w:pos="233"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“Special mention” refers to loans that are otherwise performing but have potential weaknesses that, if left uncorrected, may result in deterioration in the borrower’s ability to repay in full.</w:t>
      </w:r>
    </w:p>
    <w:p>
      <w:pPr>
        <w:spacing w:after="0" w:line="27" w:lineRule="exact"/>
        <w:rPr>
          <w:rFonts w:ascii="Arial" w:cs="Arial" w:eastAsia="Arial" w:hAnsi="Arial"/>
          <w:sz w:val="18"/>
          <w:szCs w:val="18"/>
          <w:color w:val="auto"/>
          <w:vertAlign w:val="superscript"/>
        </w:rPr>
      </w:pPr>
    </w:p>
    <w:p>
      <w:pPr>
        <w:ind w:left="240" w:right="100" w:hanging="237"/>
        <w:spacing w:after="0" w:line="226" w:lineRule="auto"/>
        <w:tabs>
          <w:tab w:leader="none" w:pos="233"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Loans classified as “Substandard” have a well-defined weakness that jeopardizes the timely full repayment. We had seniors housing loans with an amortized cost of $5.1 billion and $6.9 billion as of June 30, 2024 and December 31, 2023, respectively, classified as substandard.</w:t>
      </w:r>
    </w:p>
    <w:p>
      <w:pPr>
        <w:spacing w:after="0" w:line="1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72"/>
        </w:numPr>
        <w:rPr>
          <w:rFonts w:ascii="Arial" w:cs="Arial" w:eastAsia="Arial" w:hAnsi="Arial"/>
          <w:sz w:val="9"/>
          <w:szCs w:val="9"/>
          <w:color w:val="auto"/>
        </w:rPr>
      </w:pPr>
      <w:r>
        <w:rPr>
          <w:rFonts w:ascii="Arial" w:cs="Arial" w:eastAsia="Arial" w:hAnsi="Arial"/>
          <w:sz w:val="14"/>
          <w:szCs w:val="14"/>
          <w:color w:val="auto"/>
        </w:rPr>
        <w:t>“Doubtful” refers to a loan with a weakness that makes collection or liquidation in full highly questionable and improbable based on existing conditions and values.</w:t>
      </w:r>
    </w:p>
    <w:p>
      <w:pPr>
        <w:spacing w:after="0" w:line="11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Loss Mitigation Options for Borrowers Experiencing Financial Difficulty</w:t>
      </w:r>
    </w:p>
    <w:p>
      <w:pPr>
        <w:spacing w:after="0" w:line="107"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As part of our loss mitigation activities, we offer several types of loan restructurings to assist borrowers who experience financial difficulties. We do not typically offer principal forgiveness to our single-family or multifamily borrowers.</w:t>
      </w:r>
    </w:p>
    <w:p>
      <w:pPr>
        <w:spacing w:after="0" w:line="1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For single-family borrowers, we may offer loan restructurings that are only in the form of a payment delay (</w:t>
      </w:r>
      <w:r>
        <w:rPr>
          <w:rFonts w:ascii="Arial" w:cs="Arial" w:eastAsia="Arial" w:hAnsi="Arial"/>
          <w:sz w:val="16"/>
          <w:szCs w:val="16"/>
          <w:i w:val="1"/>
          <w:iCs w:val="1"/>
          <w:color w:val="auto"/>
        </w:rPr>
        <w:t>e.g.,</w:t>
      </w:r>
      <w:r>
        <w:rPr>
          <w:rFonts w:ascii="Arial" w:cs="Arial" w:eastAsia="Arial" w:hAnsi="Arial"/>
          <w:sz w:val="16"/>
          <w:szCs w:val="16"/>
          <w:color w:val="auto"/>
        </w:rPr>
        <w:t xml:space="preserve"> a forbearance plan, a repayment plan, or a payment deferral). We may also offer loan modifications that contractually change the terms of the loan, generally after the successful completion of a three to four month trial period. Single-family loan modifications may result in the capitalization of past due amounts (a form of payment delay), an interest rate reduction, a term extension, a principal forbearance (which is another form of payment delay), or a combination thereof. During the trial period, the borrower makes reduced payments that are an estimate of the anticipated modified payment amount. Additionally, during the trial period, the mortgage loan is not contractually modified such that the loan continues to be reported as past due and the trial period is considered a form of payment delay with respect to the original contractual terms of the loan. See “Note 4, Mortgage Loans” in our 2023 Form 10-K for additional information about our single-family loss mitigation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368300</wp:posOffset>
            </wp:positionV>
            <wp:extent cx="680593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8" w:name="page79"/>
    <w:bookmarkEnd w:id="78"/>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For multifamily borrowers, loan restructurings include short-term forbearance plans and loan modification programs, which primarily result in term extensions of up to one year with no change to the loan’s interest rate. In certain cases, we may make more significant modifications of terms for borrowers experiencing financial difficulty, such as reducing the interest rate, converting to interest-only payments, extending the maturity for longer than one year, providing principal forbearance, or some combination of these terms. In some instances when a loan is restructured, we may require additional collateral, which may take the form of a guaranty from another entity, to further mitigate the risk of nonperformance.</w:t>
      </w:r>
    </w:p>
    <w:p>
      <w:pPr>
        <w:spacing w:after="0" w:line="3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Below we provide disclosures relating to loan restructurings where borrowers were experiencing financial difficulty, including restructurings that resulted in an insignificant payment delay. The disclosures exclude loans classified as HFS and those for which we have elected the fair value option. See “Note 1, Summary of Significant Accounting Policies” in our 2023 Form 10-K for additional information on our accounting policies for single-family and multifamily loans that have been restructured.</w:t>
      </w:r>
    </w:p>
    <w:p>
      <w:pPr>
        <w:spacing w:after="0" w:line="79"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Restructurings for Borrowers Experiencing Financial Difficulty</w:t>
      </w:r>
    </w:p>
    <w:p>
      <w:pPr>
        <w:spacing w:after="0" w:line="6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following tables display the amortized cost of HFI mortgage loans that were restructured, during the periods indicated, presented by portfolio segment and class of financing receivable.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4040" w:type="dxa"/>
            <w:vAlign w:val="bottom"/>
            <w:tcBorders>
              <w:bottom w:val="single" w:sz="8" w:color="2C6937"/>
            </w:tcBorders>
            <w:gridSpan w:val="8"/>
          </w:tcPr>
          <w:p>
            <w:pPr>
              <w:jc w:val="center"/>
              <w:ind w:right="160"/>
              <w:spacing w:after="0"/>
              <w:rPr>
                <w:sz w:val="20"/>
                <w:szCs w:val="20"/>
                <w:color w:val="auto"/>
              </w:rPr>
            </w:pPr>
            <w:r>
              <w:rPr>
                <w:rFonts w:ascii="Arial" w:cs="Arial" w:eastAsia="Arial" w:hAnsi="Arial"/>
                <w:sz w:val="14"/>
                <w:szCs w:val="14"/>
                <w:b w:val="1"/>
                <w:bCs w:val="1"/>
                <w:color w:val="auto"/>
                <w:w w:val="98"/>
              </w:rPr>
              <w:t>For the Three Months Ended June 30, 2024</w:t>
            </w:r>
          </w:p>
        </w:tc>
        <w:tc>
          <w:tcPr>
            <w:tcW w:w="2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134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c>
          <w:tcPr>
            <w:tcW w:w="1420" w:type="dxa"/>
            <w:vAlign w:val="bottom"/>
            <w:tcBorders>
              <w:bottom w:val="single" w:sz="8" w:color="2C6937"/>
            </w:tcBorders>
            <w:gridSpan w:val="5"/>
          </w:tcPr>
          <w:p>
            <w:pPr>
              <w:jc w:val="center"/>
              <w:ind w:right="20"/>
              <w:spacing w:after="0"/>
              <w:rPr>
                <w:sz w:val="20"/>
                <w:szCs w:val="20"/>
                <w:color w:val="auto"/>
              </w:rPr>
            </w:pPr>
            <w:r>
              <w:rPr>
                <w:rFonts w:ascii="Arial" w:cs="Arial" w:eastAsia="Arial" w:hAnsi="Arial"/>
                <w:sz w:val="14"/>
                <w:szCs w:val="14"/>
                <w:b w:val="1"/>
                <w:bCs w:val="1"/>
                <w:color w:val="auto"/>
                <w:w w:val="97"/>
              </w:rPr>
              <w:t>Payment Delay (Only)</w:t>
            </w:r>
          </w:p>
        </w:tc>
        <w:tc>
          <w:tcPr>
            <w:tcW w:w="8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00"/>
              <w:spacing w:after="0" w:line="127" w:lineRule="exact"/>
              <w:rPr>
                <w:sz w:val="20"/>
                <w:szCs w:val="20"/>
                <w:color w:val="auto"/>
              </w:rPr>
            </w:pPr>
            <w:r>
              <w:rPr>
                <w:rFonts w:ascii="Arial" w:cs="Arial" w:eastAsia="Arial" w:hAnsi="Arial"/>
                <w:sz w:val="14"/>
                <w:szCs w:val="14"/>
                <w:b w:val="1"/>
                <w:bCs w:val="1"/>
                <w:color w:val="auto"/>
                <w:w w:val="98"/>
              </w:rPr>
              <w:t>Payment Delay,</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Trial Modification</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Payment Delay</w:t>
            </w:r>
          </w:p>
        </w:tc>
        <w:tc>
          <w:tcPr>
            <w:tcW w:w="120" w:type="dxa"/>
            <w:vAlign w:val="bottom"/>
          </w:tcPr>
          <w:p>
            <w:pPr>
              <w:spacing w:after="0"/>
              <w:rPr>
                <w:sz w:val="12"/>
                <w:szCs w:val="12"/>
                <w:color w:val="auto"/>
              </w:rPr>
            </w:pPr>
          </w:p>
        </w:tc>
        <w:tc>
          <w:tcPr>
            <w:tcW w:w="13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Term Extension,</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vMerge w:val="restart"/>
          </w:tcPr>
          <w:p>
            <w:pPr>
              <w:jc w:val="center"/>
              <w:ind w:left="5"/>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6"/>
              </w:rPr>
              <w:t>Interest Rate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Forbearance Plan</w:t>
            </w:r>
          </w:p>
        </w:tc>
        <w:tc>
          <w:tcPr>
            <w:tcW w:w="80" w:type="dxa"/>
            <w:vAlign w:val="bottom"/>
          </w:tcPr>
          <w:p>
            <w:pPr>
              <w:spacing w:after="0"/>
              <w:rPr>
                <w:sz w:val="12"/>
                <w:szCs w:val="12"/>
                <w:color w:val="auto"/>
              </w:rPr>
            </w:pPr>
          </w:p>
        </w:tc>
        <w:tc>
          <w:tcPr>
            <w:tcW w:w="13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8"/>
              </w:rPr>
              <w:t>Payment Deferral</w:t>
            </w:r>
          </w:p>
        </w:tc>
        <w:tc>
          <w:tcPr>
            <w:tcW w:w="80" w:type="dxa"/>
            <w:vAlign w:val="bottom"/>
          </w:tcPr>
          <w:p>
            <w:pPr>
              <w:spacing w:after="0"/>
              <w:rPr>
                <w:sz w:val="12"/>
                <w:szCs w:val="12"/>
                <w:color w:val="auto"/>
              </w:rPr>
            </w:pPr>
          </w:p>
        </w:tc>
        <w:tc>
          <w:tcPr>
            <w:tcW w:w="12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5"/>
              </w:rPr>
              <w:t>and Term</w:t>
            </w:r>
          </w:p>
        </w:tc>
        <w:tc>
          <w:tcPr>
            <w:tcW w:w="120" w:type="dxa"/>
            <w:vAlign w:val="bottom"/>
          </w:tcPr>
          <w:p>
            <w:pPr>
              <w:spacing w:after="0"/>
              <w:rPr>
                <w:sz w:val="12"/>
                <w:szCs w:val="12"/>
                <w:color w:val="auto"/>
              </w:rPr>
            </w:pPr>
          </w:p>
        </w:tc>
        <w:tc>
          <w:tcPr>
            <w:tcW w:w="13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Reduction, and</w:t>
            </w:r>
          </w:p>
        </w:tc>
        <w:tc>
          <w:tcPr>
            <w:tcW w:w="280" w:type="dxa"/>
            <w:vAlign w:val="bottom"/>
          </w:tcPr>
          <w:p>
            <w:pPr>
              <w:spacing w:after="0"/>
              <w:rPr>
                <w:sz w:val="12"/>
                <w:szCs w:val="12"/>
                <w:color w:val="auto"/>
              </w:rPr>
            </w:pPr>
          </w:p>
        </w:tc>
        <w:tc>
          <w:tcPr>
            <w:tcW w:w="96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340" w:type="dxa"/>
            <w:vAlign w:val="bottom"/>
          </w:tcPr>
          <w:p>
            <w:pPr>
              <w:jc w:val="center"/>
              <w:ind w:left="25"/>
              <w:spacing w:after="0" w:line="142" w:lineRule="exact"/>
              <w:rPr>
                <w:sz w:val="20"/>
                <w:szCs w:val="20"/>
                <w:color w:val="auto"/>
              </w:rPr>
            </w:pPr>
            <w:r>
              <w:rPr>
                <w:rFonts w:ascii="Arial" w:cs="Arial" w:eastAsia="Arial" w:hAnsi="Arial"/>
                <w:sz w:val="14"/>
                <w:szCs w:val="14"/>
                <w:b w:val="1"/>
                <w:bCs w:val="1"/>
                <w:color w:val="auto"/>
                <w:w w:val="96"/>
              </w:rPr>
              <w:t>Total by Financing</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2C6937"/>
            </w:tcBorders>
            <w:gridSpan w:val="2"/>
            <w:vMerge w:val="continue"/>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340" w:type="dxa"/>
            <w:vAlign w:val="bottom"/>
            <w:tcBorders>
              <w:bottom w:val="single" w:sz="8" w:color="2C6937"/>
            </w:tcBorders>
            <w:gridSpan w:val="4"/>
            <w:vMerge w:val="continue"/>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Plans</w:t>
            </w:r>
          </w:p>
        </w:tc>
        <w:tc>
          <w:tcPr>
            <w:tcW w:w="12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20"/>
              <w:spacing w:after="0" w:line="180" w:lineRule="exact"/>
              <w:rPr>
                <w:sz w:val="20"/>
                <w:szCs w:val="20"/>
                <w:color w:val="auto"/>
              </w:rPr>
            </w:pPr>
            <w:r>
              <w:rPr>
                <w:rFonts w:ascii="Arial" w:cs="Arial" w:eastAsia="Arial" w:hAnsi="Arial"/>
                <w:sz w:val="14"/>
                <w:szCs w:val="14"/>
                <w:b w:val="1"/>
                <w:bCs w:val="1"/>
                <w:color w:val="auto"/>
                <w:w w:val="94"/>
              </w:rPr>
              <w:t>Extension</w:t>
            </w:r>
            <w:r>
              <w:rPr>
                <w:rFonts w:ascii="Arial" w:cs="Arial" w:eastAsia="Arial" w:hAnsi="Arial"/>
                <w:sz w:val="17"/>
                <w:szCs w:val="17"/>
                <w:b w:val="1"/>
                <w:bCs w:val="1"/>
                <w:color w:val="auto"/>
                <w:w w:val="94"/>
                <w:vertAlign w:val="superscript"/>
              </w:rPr>
              <w:t>(1)</w:t>
            </w:r>
          </w:p>
        </w:tc>
        <w:tc>
          <w:tcPr>
            <w:tcW w:w="120" w:type="dxa"/>
            <w:vAlign w:val="bottom"/>
            <w:tcBorders>
              <w:bottom w:val="single" w:sz="8" w:color="2C6937"/>
            </w:tcBorders>
          </w:tcPr>
          <w:p>
            <w:pPr>
              <w:spacing w:after="0"/>
              <w:rPr>
                <w:sz w:val="15"/>
                <w:szCs w:val="15"/>
                <w:color w:val="auto"/>
              </w:rPr>
            </w:pPr>
          </w:p>
        </w:tc>
        <w:tc>
          <w:tcPr>
            <w:tcW w:w="1340" w:type="dxa"/>
            <w:vAlign w:val="bottom"/>
            <w:tcBorders>
              <w:bottom w:val="single" w:sz="8" w:color="2C6937"/>
            </w:tcBorders>
            <w:gridSpan w:val="2"/>
          </w:tcPr>
          <w:p>
            <w:pPr>
              <w:jc w:val="center"/>
              <w:ind w:right="200"/>
              <w:spacing w:after="0" w:line="180" w:lineRule="exact"/>
              <w:rPr>
                <w:sz w:val="20"/>
                <w:szCs w:val="20"/>
                <w:color w:val="auto"/>
              </w:rPr>
            </w:pPr>
            <w:r>
              <w:rPr>
                <w:rFonts w:ascii="Arial" w:cs="Arial" w:eastAsia="Arial" w:hAnsi="Arial"/>
                <w:sz w:val="14"/>
                <w:szCs w:val="14"/>
                <w:b w:val="1"/>
                <w:bCs w:val="1"/>
                <w:color w:val="auto"/>
                <w:w w:val="89"/>
              </w:rPr>
              <w:t>Other</w:t>
            </w:r>
            <w:r>
              <w:rPr>
                <w:rFonts w:ascii="Arial" w:cs="Arial" w:eastAsia="Arial" w:hAnsi="Arial"/>
                <w:sz w:val="17"/>
                <w:szCs w:val="17"/>
                <w:b w:val="1"/>
                <w:bCs w:val="1"/>
                <w:color w:val="auto"/>
                <w:w w:val="89"/>
                <w:vertAlign w:val="superscript"/>
              </w:rPr>
              <w:t>(1)</w:t>
            </w:r>
          </w:p>
        </w:tc>
        <w:tc>
          <w:tcPr>
            <w:tcW w:w="28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1340" w:type="dxa"/>
            <w:vAlign w:val="bottom"/>
            <w:tcBorders>
              <w:bottom w:val="single" w:sz="8" w:color="2C6937"/>
            </w:tcBorders>
          </w:tcPr>
          <w:p>
            <w:pPr>
              <w:jc w:val="center"/>
              <w:ind w:left="25"/>
              <w:spacing w:after="0" w:line="180" w:lineRule="exact"/>
              <w:rPr>
                <w:sz w:val="20"/>
                <w:szCs w:val="20"/>
                <w:color w:val="auto"/>
              </w:rPr>
            </w:pPr>
            <w:r>
              <w:rPr>
                <w:rFonts w:ascii="Arial" w:cs="Arial" w:eastAsia="Arial" w:hAnsi="Arial"/>
                <w:sz w:val="14"/>
                <w:szCs w:val="14"/>
                <w:b w:val="1"/>
                <w:bCs w:val="1"/>
                <w:color w:val="auto"/>
                <w:w w:val="93"/>
              </w:rPr>
              <w:t>Class</w:t>
            </w:r>
            <w:r>
              <w:rPr>
                <w:rFonts w:ascii="Arial" w:cs="Arial" w:eastAsia="Arial" w:hAnsi="Arial"/>
                <w:sz w:val="17"/>
                <w:szCs w:val="17"/>
                <w:b w:val="1"/>
                <w:bCs w:val="1"/>
                <w:color w:val="auto"/>
                <w:w w:val="93"/>
                <w:vertAlign w:val="superscript"/>
              </w:rPr>
              <w:t>(2)</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84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84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4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4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4,905</w:t>
            </w:r>
          </w:p>
        </w:tc>
        <w:tc>
          <w:tcPr>
            <w:tcW w:w="520" w:type="dxa"/>
            <w:vAlign w:val="bottom"/>
            <w:gridSpan w:val="2"/>
          </w:tcPr>
          <w:p>
            <w:pPr>
              <w:jc w:val="right"/>
              <w:ind w:right="271"/>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2,733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4,498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2,438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8"/>
                <w:szCs w:val="18"/>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14,606</w:t>
            </w:r>
          </w:p>
        </w:tc>
        <w:tc>
          <w:tcPr>
            <w:tcW w:w="1340" w:type="dxa"/>
            <w:vAlign w:val="bottom"/>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09"/>
        </w:trPr>
        <w:tc>
          <w:tcPr>
            <w:tcW w:w="184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840" w:type="dxa"/>
            <w:vAlign w:val="bottom"/>
            <w:gridSpan w:val="2"/>
          </w:tcPr>
          <w:p>
            <w:pPr>
              <w:ind w:left="320"/>
              <w:spacing w:after="0"/>
              <w:rPr>
                <w:sz w:val="20"/>
                <w:szCs w:val="20"/>
                <w:color w:val="auto"/>
              </w:rPr>
            </w:pPr>
            <w:r>
              <w:rPr>
                <w:rFonts w:ascii="Arial" w:cs="Arial" w:eastAsia="Arial" w:hAnsi="Arial"/>
                <w:sz w:val="15"/>
                <w:szCs w:val="15"/>
                <w:color w:val="auto"/>
              </w:rPr>
              <w:t>amortizing fixed-</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40" w:type="dxa"/>
            <w:vAlign w:val="bottom"/>
            <w:gridSpan w:val="2"/>
          </w:tcPr>
          <w:p>
            <w:pPr>
              <w:ind w:left="320"/>
              <w:spacing w:after="0"/>
              <w:rPr>
                <w:sz w:val="20"/>
                <w:szCs w:val="20"/>
                <w:color w:val="auto"/>
              </w:rPr>
            </w:pPr>
            <w:r>
              <w:rPr>
                <w:rFonts w:ascii="Arial" w:cs="Arial" w:eastAsia="Arial" w:hAnsi="Arial"/>
                <w:sz w:val="15"/>
                <w:szCs w:val="15"/>
                <w:color w:val="auto"/>
              </w:rPr>
              <w:t>rate</w:t>
            </w:r>
          </w:p>
        </w:tc>
        <w:tc>
          <w:tcPr>
            <w:tcW w:w="4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195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442</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184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52</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7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159</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4"/>
        </w:trPr>
        <w:tc>
          <w:tcPr>
            <w:tcW w:w="184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19"/>
                <w:szCs w:val="19"/>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5,150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4,731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2,467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15,259</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7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86</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1840" w:type="dxa"/>
            <w:vAlign w:val="bottom"/>
            <w:gridSpan w:val="2"/>
          </w:tcPr>
          <w:p>
            <w:pPr>
              <w:ind w:left="180"/>
              <w:spacing w:after="0" w:line="226"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5,179</w:t>
            </w:r>
          </w:p>
        </w:tc>
        <w:tc>
          <w:tcPr>
            <w:tcW w:w="520" w:type="dxa"/>
            <w:vAlign w:val="bottom"/>
            <w:gridSpan w:val="2"/>
          </w:tcPr>
          <w:p>
            <w:pPr>
              <w:jc w:val="right"/>
              <w:ind w:right="271"/>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2,867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4,731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2,467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101</w:t>
            </w:r>
          </w:p>
        </w:tc>
        <w:tc>
          <w:tcPr>
            <w:tcW w:w="80" w:type="dxa"/>
            <w:vAlign w:val="bottom"/>
          </w:tcPr>
          <w:p>
            <w:pPr>
              <w:spacing w:after="0"/>
              <w:rPr>
                <w:sz w:val="19"/>
                <w:szCs w:val="19"/>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15,345</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79" w:name="page80"/>
    <w:bookmarkEnd w:id="79"/>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42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000" w:type="dxa"/>
            <w:vAlign w:val="bottom"/>
            <w:tcBorders>
              <w:bottom w:val="single" w:sz="8" w:color="2C6937"/>
            </w:tcBorders>
            <w:gridSpan w:val="10"/>
          </w:tcPr>
          <w:p>
            <w:pPr>
              <w:jc w:val="center"/>
              <w:ind w:right="80"/>
              <w:spacing w:after="0"/>
              <w:rPr>
                <w:sz w:val="20"/>
                <w:szCs w:val="20"/>
                <w:color w:val="auto"/>
              </w:rPr>
            </w:pPr>
            <w:r>
              <w:rPr>
                <w:rFonts w:ascii="Arial" w:cs="Arial" w:eastAsia="Arial" w:hAnsi="Arial"/>
                <w:sz w:val="14"/>
                <w:szCs w:val="14"/>
                <w:b w:val="1"/>
                <w:bCs w:val="1"/>
                <w:color w:val="auto"/>
                <w:w w:val="98"/>
              </w:rPr>
              <w:t>For the Six Months Ended June 30, 2024</w:t>
            </w:r>
          </w:p>
        </w:tc>
        <w:tc>
          <w:tcPr>
            <w:tcW w:w="28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spacing w:after="0"/>
              <w:rPr>
                <w:sz w:val="17"/>
                <w:szCs w:val="17"/>
                <w:color w:val="auto"/>
              </w:rPr>
            </w:pPr>
          </w:p>
        </w:tc>
        <w:tc>
          <w:tcPr>
            <w:tcW w:w="146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500" w:type="dxa"/>
            <w:vAlign w:val="bottom"/>
            <w:tcBorders>
              <w:bottom w:val="single" w:sz="8" w:color="2C6937"/>
            </w:tcBorders>
            <w:gridSpan w:val="8"/>
          </w:tcPr>
          <w:p>
            <w:pPr>
              <w:jc w:val="center"/>
              <w:ind w:right="26"/>
              <w:spacing w:after="0"/>
              <w:rPr>
                <w:sz w:val="20"/>
                <w:szCs w:val="20"/>
                <w:color w:val="auto"/>
              </w:rPr>
            </w:pPr>
            <w:r>
              <w:rPr>
                <w:rFonts w:ascii="Arial" w:cs="Arial" w:eastAsia="Arial" w:hAnsi="Arial"/>
                <w:sz w:val="14"/>
                <w:szCs w:val="14"/>
                <w:b w:val="1"/>
                <w:bCs w:val="1"/>
                <w:color w:val="auto"/>
                <w:w w:val="97"/>
              </w:rPr>
              <w:t>Payment Delay (Only)</w:t>
            </w:r>
          </w:p>
        </w:tc>
        <w:tc>
          <w:tcPr>
            <w:tcW w:w="112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98"/>
              </w:rPr>
              <w:t>Payment Delay,</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6"/>
              </w:rPr>
              <w:t>Trial Modification</w:t>
            </w:r>
          </w:p>
        </w:tc>
        <w:tc>
          <w:tcPr>
            <w:tcW w:w="120" w:type="dxa"/>
            <w:vAlign w:val="bottom"/>
          </w:tcPr>
          <w:p>
            <w:pPr>
              <w:spacing w:after="0"/>
              <w:rPr>
                <w:sz w:val="12"/>
                <w:szCs w:val="12"/>
                <w:color w:val="auto"/>
              </w:rPr>
            </w:pPr>
          </w:p>
        </w:tc>
        <w:tc>
          <w:tcPr>
            <w:tcW w:w="12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8"/>
              </w:rPr>
              <w:t>Payment Delay</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Term Extension,</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60" w:type="dxa"/>
            <w:vAlign w:val="bottom"/>
            <w:vMerge w:val="restart"/>
          </w:tcPr>
          <w:p>
            <w:pPr>
              <w:jc w:val="center"/>
              <w:ind w:left="25"/>
              <w:spacing w:after="0"/>
              <w:rPr>
                <w:sz w:val="20"/>
                <w:szCs w:val="20"/>
                <w:color w:val="auto"/>
              </w:rPr>
            </w:pPr>
            <w:r>
              <w:rPr>
                <w:rFonts w:ascii="Arial" w:cs="Arial" w:eastAsia="Arial" w:hAnsi="Arial"/>
                <w:sz w:val="14"/>
                <w:szCs w:val="14"/>
                <w:b w:val="1"/>
                <w:bCs w:val="1"/>
                <w:color w:val="auto"/>
                <w:w w:val="99"/>
              </w:rPr>
              <w:t>Percentage of</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Interest Rate</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Forbearance Plan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7"/>
              </w:rPr>
              <w:t>Payment Deferral</w:t>
            </w:r>
          </w:p>
        </w:tc>
        <w:tc>
          <w:tcPr>
            <w:tcW w:w="100" w:type="dxa"/>
            <w:vAlign w:val="bottom"/>
          </w:tcPr>
          <w:p>
            <w:pPr>
              <w:spacing w:after="0"/>
              <w:rPr>
                <w:sz w:val="12"/>
                <w:szCs w:val="12"/>
                <w:color w:val="auto"/>
              </w:rPr>
            </w:pPr>
          </w:p>
        </w:tc>
        <w:tc>
          <w:tcPr>
            <w:tcW w:w="122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120" w:type="dxa"/>
            <w:vAlign w:val="bottom"/>
          </w:tcPr>
          <w:p>
            <w:pPr>
              <w:spacing w:after="0"/>
              <w:rPr>
                <w:sz w:val="12"/>
                <w:szCs w:val="12"/>
                <w:color w:val="auto"/>
              </w:rPr>
            </w:pPr>
          </w:p>
        </w:tc>
        <w:tc>
          <w:tcPr>
            <w:tcW w:w="122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5"/>
              </w:rPr>
              <w:t>and Term</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Reduction, and</w:t>
            </w:r>
          </w:p>
        </w:tc>
        <w:tc>
          <w:tcPr>
            <w:tcW w:w="280" w:type="dxa"/>
            <w:vAlign w:val="bottom"/>
          </w:tcPr>
          <w:p>
            <w:pPr>
              <w:spacing w:after="0"/>
              <w:rPr>
                <w:sz w:val="12"/>
                <w:szCs w:val="12"/>
                <w:color w:val="auto"/>
              </w:rPr>
            </w:pPr>
          </w:p>
        </w:tc>
        <w:tc>
          <w:tcPr>
            <w:tcW w:w="92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Total</w:t>
            </w:r>
          </w:p>
        </w:tc>
        <w:tc>
          <w:tcPr>
            <w:tcW w:w="1460" w:type="dxa"/>
            <w:vAlign w:val="bottom"/>
          </w:tcPr>
          <w:p>
            <w:pPr>
              <w:jc w:val="center"/>
              <w:ind w:left="25"/>
              <w:spacing w:after="0" w:line="142" w:lineRule="exact"/>
              <w:rPr>
                <w:sz w:val="20"/>
                <w:szCs w:val="20"/>
                <w:color w:val="auto"/>
              </w:rPr>
            </w:pPr>
            <w:r>
              <w:rPr>
                <w:rFonts w:ascii="Arial" w:cs="Arial" w:eastAsia="Arial" w:hAnsi="Arial"/>
                <w:sz w:val="14"/>
                <w:szCs w:val="14"/>
                <w:b w:val="1"/>
                <w:bCs w:val="1"/>
                <w:color w:val="auto"/>
                <w:w w:val="96"/>
              </w:rPr>
              <w:t>Total by Financing</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bottom w:val="single" w:sz="8" w:color="2C6937"/>
            </w:tcBorders>
            <w:gridSpan w:val="2"/>
            <w:vMerge w:val="continue"/>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4"/>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3"/>
          </w:tcPr>
          <w:p>
            <w:pPr>
              <w:jc w:val="center"/>
              <w:ind w:right="180"/>
              <w:spacing w:after="0"/>
              <w:rPr>
                <w:sz w:val="20"/>
                <w:szCs w:val="20"/>
                <w:color w:val="auto"/>
              </w:rPr>
            </w:pPr>
            <w:r>
              <w:rPr>
                <w:rFonts w:ascii="Arial" w:cs="Arial" w:eastAsia="Arial" w:hAnsi="Arial"/>
                <w:sz w:val="14"/>
                <w:szCs w:val="14"/>
                <w:b w:val="1"/>
                <w:bCs w:val="1"/>
                <w:color w:val="auto"/>
                <w:w w:val="96"/>
              </w:rPr>
              <w:t>Plans</w:t>
            </w:r>
          </w:p>
        </w:tc>
        <w:tc>
          <w:tcPr>
            <w:tcW w:w="12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3"/>
          </w:tcPr>
          <w:p>
            <w:pPr>
              <w:jc w:val="center"/>
              <w:ind w:right="220"/>
              <w:spacing w:after="0"/>
              <w:rPr>
                <w:sz w:val="20"/>
                <w:szCs w:val="20"/>
                <w:color w:val="auto"/>
              </w:rPr>
            </w:pPr>
            <w:r>
              <w:rPr>
                <w:rFonts w:ascii="Arial" w:cs="Arial" w:eastAsia="Arial" w:hAnsi="Arial"/>
                <w:sz w:val="14"/>
                <w:szCs w:val="14"/>
                <w:b w:val="1"/>
                <w:bCs w:val="1"/>
                <w:color w:val="auto"/>
                <w:w w:val="99"/>
              </w:rPr>
              <w:t>Extension</w:t>
            </w:r>
            <w:r>
              <w:rPr>
                <w:rFonts w:ascii="Arial" w:cs="Arial" w:eastAsia="Arial" w:hAnsi="Arial"/>
                <w:sz w:val="8"/>
                <w:szCs w:val="8"/>
                <w:b w:val="1"/>
                <w:bCs w:val="1"/>
                <w:color w:val="auto"/>
                <w:w w:val="99"/>
              </w:rPr>
              <w:t>(1)</w:t>
            </w:r>
          </w:p>
        </w:tc>
        <w:tc>
          <w:tcPr>
            <w:tcW w:w="12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gridSpan w:val="2"/>
          </w:tcPr>
          <w:p>
            <w:pPr>
              <w:jc w:val="center"/>
              <w:ind w:right="220"/>
              <w:spacing w:after="0" w:line="180" w:lineRule="exact"/>
              <w:rPr>
                <w:sz w:val="20"/>
                <w:szCs w:val="20"/>
                <w:color w:val="auto"/>
              </w:rPr>
            </w:pPr>
            <w:r>
              <w:rPr>
                <w:rFonts w:ascii="Arial" w:cs="Arial" w:eastAsia="Arial" w:hAnsi="Arial"/>
                <w:sz w:val="14"/>
                <w:szCs w:val="14"/>
                <w:b w:val="1"/>
                <w:bCs w:val="1"/>
                <w:color w:val="auto"/>
                <w:w w:val="89"/>
              </w:rPr>
              <w:t>Other</w:t>
            </w:r>
            <w:r>
              <w:rPr>
                <w:rFonts w:ascii="Arial" w:cs="Arial" w:eastAsia="Arial" w:hAnsi="Arial"/>
                <w:sz w:val="17"/>
                <w:szCs w:val="17"/>
                <w:b w:val="1"/>
                <w:bCs w:val="1"/>
                <w:color w:val="auto"/>
                <w:w w:val="89"/>
                <w:vertAlign w:val="superscript"/>
              </w:rPr>
              <w:t>(1)</w:t>
            </w:r>
          </w:p>
        </w:tc>
        <w:tc>
          <w:tcPr>
            <w:tcW w:w="280" w:type="dxa"/>
            <w:vAlign w:val="bottom"/>
            <w:tcBorders>
              <w:bottom w:val="single" w:sz="8" w:color="2C6937"/>
            </w:tcBorders>
          </w:tcPr>
          <w:p>
            <w:pPr>
              <w:spacing w:after="0"/>
              <w:rPr>
                <w:sz w:val="15"/>
                <w:szCs w:val="15"/>
                <w:color w:val="auto"/>
              </w:rPr>
            </w:pPr>
          </w:p>
        </w:tc>
        <w:tc>
          <w:tcPr>
            <w:tcW w:w="920" w:type="dxa"/>
            <w:vAlign w:val="bottom"/>
            <w:tcBorders>
              <w:bottom w:val="single" w:sz="8" w:color="2C6937"/>
            </w:tcBorders>
            <w:vMerge w:val="continue"/>
          </w:tcPr>
          <w:p>
            <w:pPr>
              <w:spacing w:after="0"/>
              <w:rPr>
                <w:sz w:val="15"/>
                <w:szCs w:val="15"/>
                <w:color w:val="auto"/>
              </w:rPr>
            </w:pPr>
          </w:p>
        </w:tc>
        <w:tc>
          <w:tcPr>
            <w:tcW w:w="1460" w:type="dxa"/>
            <w:vAlign w:val="bottom"/>
            <w:tcBorders>
              <w:bottom w:val="single" w:sz="8" w:color="2C6937"/>
            </w:tcBorders>
          </w:tcPr>
          <w:p>
            <w:pPr>
              <w:jc w:val="center"/>
              <w:ind w:left="25"/>
              <w:spacing w:after="0"/>
              <w:rPr>
                <w:sz w:val="20"/>
                <w:szCs w:val="20"/>
                <w:color w:val="auto"/>
              </w:rPr>
            </w:pPr>
            <w:r>
              <w:rPr>
                <w:rFonts w:ascii="Arial" w:cs="Arial" w:eastAsia="Arial" w:hAnsi="Arial"/>
                <w:sz w:val="14"/>
                <w:szCs w:val="14"/>
                <w:b w:val="1"/>
                <w:bCs w:val="1"/>
                <w:color w:val="auto"/>
              </w:rPr>
              <w:t>Class</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80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0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80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0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6,698</w:t>
            </w:r>
          </w:p>
        </w:tc>
        <w:tc>
          <w:tcPr>
            <w:tcW w:w="540" w:type="dxa"/>
            <w:vAlign w:val="bottom"/>
            <w:gridSpan w:val="5"/>
          </w:tcPr>
          <w:p>
            <w:pPr>
              <w:jc w:val="right"/>
              <w:ind w:right="248"/>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6,155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6,626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4,605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24,146</w:t>
            </w:r>
          </w:p>
        </w:tc>
        <w:tc>
          <w:tcPr>
            <w:tcW w:w="1460" w:type="dxa"/>
            <w:vAlign w:val="bottom"/>
          </w:tcPr>
          <w:p>
            <w:pPr>
              <w:ind w:left="1160"/>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196"/>
        </w:trPr>
        <w:tc>
          <w:tcPr>
            <w:tcW w:w="180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800" w:type="dxa"/>
            <w:vAlign w:val="bottom"/>
            <w:gridSpan w:val="2"/>
          </w:tcPr>
          <w:p>
            <w:pPr>
              <w:ind w:left="320"/>
              <w:spacing w:after="0"/>
              <w:rPr>
                <w:sz w:val="20"/>
                <w:szCs w:val="20"/>
                <w:color w:val="auto"/>
              </w:rPr>
            </w:pPr>
            <w:r>
              <w:rPr>
                <w:rFonts w:ascii="Arial" w:cs="Arial" w:eastAsia="Arial" w:hAnsi="Arial"/>
                <w:sz w:val="15"/>
                <w:szCs w:val="15"/>
                <w:color w:val="auto"/>
              </w:rPr>
              <w:t>amortizing fixed-</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00" w:type="dxa"/>
            <w:vAlign w:val="bottom"/>
            <w:gridSpan w:val="2"/>
          </w:tcPr>
          <w:p>
            <w:pPr>
              <w:ind w:left="320"/>
              <w:spacing w:after="0"/>
              <w:rPr>
                <w:sz w:val="20"/>
                <w:szCs w:val="20"/>
                <w:color w:val="auto"/>
              </w:rPr>
            </w:pPr>
            <w:r>
              <w:rPr>
                <w:rFonts w:ascii="Arial" w:cs="Arial" w:eastAsia="Arial" w:hAnsi="Arial"/>
                <w:sz w:val="15"/>
                <w:szCs w:val="15"/>
                <w:color w:val="auto"/>
              </w:rPr>
              <w:t>rate</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271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199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708</w:t>
            </w:r>
          </w:p>
        </w:tc>
        <w:tc>
          <w:tcPr>
            <w:tcW w:w="14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180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89</w:t>
            </w:r>
          </w:p>
        </w:tc>
        <w:tc>
          <w:tcPr>
            <w:tcW w:w="14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w:t>
            </w:r>
          </w:p>
        </w:tc>
        <w:tc>
          <w:tcPr>
            <w:tcW w:w="20" w:type="dxa"/>
            <w:vAlign w:val="bottom"/>
            <w:tcBorders>
              <w:bottom w:val="single" w:sz="8" w:color="2C6937"/>
            </w:tcBorders>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92</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290</w:t>
            </w:r>
          </w:p>
        </w:tc>
        <w:tc>
          <w:tcPr>
            <w:tcW w:w="1460" w:type="dxa"/>
            <w:vAlign w:val="bottom"/>
          </w:tcPr>
          <w:p>
            <w:pPr>
              <w:jc w:val="right"/>
              <w:ind w:right="145"/>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4"/>
        </w:trPr>
        <w:tc>
          <w:tcPr>
            <w:tcW w:w="180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7,043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6,465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6,975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4,662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25,233</w:t>
            </w:r>
          </w:p>
        </w:tc>
        <w:tc>
          <w:tcPr>
            <w:tcW w:w="1460" w:type="dxa"/>
            <w:vAlign w:val="bottom"/>
          </w:tcPr>
          <w:p>
            <w:pPr>
              <w:jc w:val="right"/>
              <w:ind w:right="145"/>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3"/>
        </w:trPr>
        <w:tc>
          <w:tcPr>
            <w:tcW w:w="1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31</w:t>
            </w:r>
          </w:p>
        </w:tc>
        <w:tc>
          <w:tcPr>
            <w:tcW w:w="20" w:type="dxa"/>
            <w:vAlign w:val="bottom"/>
            <w:tcBorders>
              <w:bottom w:val="single" w:sz="8" w:color="2C6937"/>
            </w:tcBorders>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gridSpan w:val="2"/>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gridSpan w:val="2"/>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93</w:t>
            </w:r>
          </w:p>
        </w:tc>
        <w:tc>
          <w:tcPr>
            <w:tcW w:w="14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1720" w:type="dxa"/>
            <w:vAlign w:val="bottom"/>
            <w:tcBorders>
              <w:bottom w:val="single" w:sz="8" w:color="2C6937"/>
            </w:tcBorders>
          </w:tcPr>
          <w:p>
            <w:pPr>
              <w:ind w:left="180"/>
              <w:spacing w:after="0" w:line="226"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80" w:type="dxa"/>
            <w:vAlign w:val="bottom"/>
          </w:tcPr>
          <w:p>
            <w:pPr>
              <w:spacing w:after="0"/>
              <w:rPr>
                <w:sz w:val="19"/>
                <w:szCs w:val="19"/>
                <w:color w:val="auto"/>
              </w:rPr>
            </w:pPr>
          </w:p>
        </w:tc>
        <w:tc>
          <w:tcPr>
            <w:tcW w:w="4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7,074</w:t>
            </w:r>
          </w:p>
        </w:tc>
        <w:tc>
          <w:tcPr>
            <w:tcW w:w="40" w:type="dxa"/>
            <w:vAlign w:val="bottom"/>
            <w:tcBorders>
              <w:bottom w:val="single" w:sz="8" w:color="2C6937"/>
            </w:tcBorders>
            <w:gridSpan w:val="2"/>
          </w:tcPr>
          <w:p>
            <w:pPr>
              <w:spacing w:after="0"/>
              <w:rPr>
                <w:sz w:val="19"/>
                <w:szCs w:val="19"/>
                <w:color w:val="auto"/>
              </w:rPr>
            </w:pPr>
          </w:p>
        </w:tc>
        <w:tc>
          <w:tcPr>
            <w:tcW w:w="80" w:type="dxa"/>
            <w:vAlign w:val="bottom"/>
            <w:gridSpan w:val="2"/>
          </w:tcPr>
          <w:p>
            <w:pPr>
              <w:spacing w:after="0"/>
              <w:rPr>
                <w:sz w:val="19"/>
                <w:szCs w:val="19"/>
                <w:color w:val="auto"/>
              </w:rPr>
            </w:pPr>
          </w:p>
        </w:tc>
        <w:tc>
          <w:tcPr>
            <w:tcW w:w="420" w:type="dxa"/>
            <w:vAlign w:val="bottom"/>
            <w:tcBorders>
              <w:bottom w:val="single" w:sz="8" w:color="2C6937"/>
            </w:tcBorders>
          </w:tcPr>
          <w:p>
            <w:pPr>
              <w:jc w:val="right"/>
              <w:ind w:right="248"/>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6,465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6,975</w:t>
            </w:r>
          </w:p>
        </w:tc>
        <w:tc>
          <w:tcPr>
            <w:tcW w:w="2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150</w:t>
            </w:r>
          </w:p>
        </w:tc>
        <w:tc>
          <w:tcPr>
            <w:tcW w:w="100" w:type="dxa"/>
            <w:vAlign w:val="bottom"/>
          </w:tcPr>
          <w:p>
            <w:pPr>
              <w:spacing w:after="0"/>
              <w:rPr>
                <w:sz w:val="19"/>
                <w:szCs w:val="19"/>
                <w:color w:val="auto"/>
              </w:rPr>
            </w:pPr>
          </w:p>
        </w:tc>
        <w:tc>
          <w:tcPr>
            <w:tcW w:w="28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25,326</w:t>
            </w:r>
          </w:p>
        </w:tc>
        <w:tc>
          <w:tcPr>
            <w:tcW w:w="1460" w:type="dxa"/>
            <w:vAlign w:val="bottom"/>
          </w:tcPr>
          <w:p>
            <w:pPr>
              <w:jc w:val="right"/>
              <w:ind w:right="145"/>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17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920" w:type="dxa"/>
            <w:vAlign w:val="bottom"/>
            <w:tcBorders>
              <w:bottom w:val="single" w:sz="8" w:color="2C6937"/>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4000" w:type="dxa"/>
            <w:vAlign w:val="bottom"/>
            <w:tcBorders>
              <w:bottom w:val="single" w:sz="8" w:color="2C6937"/>
            </w:tcBorders>
            <w:gridSpan w:val="10"/>
          </w:tcPr>
          <w:p>
            <w:pPr>
              <w:jc w:val="center"/>
              <w:ind w:right="80"/>
              <w:spacing w:after="0"/>
              <w:rPr>
                <w:sz w:val="20"/>
                <w:szCs w:val="20"/>
                <w:color w:val="auto"/>
              </w:rPr>
            </w:pPr>
            <w:r>
              <w:rPr>
                <w:rFonts w:ascii="Arial" w:cs="Arial" w:eastAsia="Arial" w:hAnsi="Arial"/>
                <w:sz w:val="14"/>
                <w:szCs w:val="14"/>
                <w:b w:val="1"/>
                <w:bCs w:val="1"/>
                <w:color w:val="auto"/>
                <w:w w:val="98"/>
              </w:rPr>
              <w:t>For the Three Months Ended June 30, 2023</w:t>
            </w:r>
          </w:p>
        </w:tc>
        <w:tc>
          <w:tcPr>
            <w:tcW w:w="28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spacing w:after="0"/>
              <w:rPr>
                <w:sz w:val="24"/>
                <w:szCs w:val="24"/>
                <w:color w:val="auto"/>
              </w:rPr>
            </w:pPr>
          </w:p>
        </w:tc>
        <w:tc>
          <w:tcPr>
            <w:tcW w:w="146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spacing w:after="0"/>
              <w:rPr>
                <w:sz w:val="16"/>
                <w:szCs w:val="16"/>
                <w:color w:val="auto"/>
              </w:rPr>
            </w:pPr>
          </w:p>
        </w:tc>
        <w:tc>
          <w:tcPr>
            <w:tcW w:w="1420" w:type="dxa"/>
            <w:vAlign w:val="bottom"/>
            <w:tcBorders>
              <w:bottom w:val="single" w:sz="8" w:color="2C6937"/>
            </w:tcBorders>
            <w:gridSpan w:val="8"/>
          </w:tcPr>
          <w:p>
            <w:pPr>
              <w:jc w:val="center"/>
              <w:spacing w:after="0"/>
              <w:rPr>
                <w:sz w:val="20"/>
                <w:szCs w:val="20"/>
                <w:color w:val="auto"/>
              </w:rPr>
            </w:pPr>
            <w:r>
              <w:rPr>
                <w:rFonts w:ascii="Arial" w:cs="Arial" w:eastAsia="Arial" w:hAnsi="Arial"/>
                <w:sz w:val="14"/>
                <w:szCs w:val="14"/>
                <w:b w:val="1"/>
                <w:bCs w:val="1"/>
                <w:color w:val="auto"/>
                <w:w w:val="98"/>
              </w:rPr>
              <w:t>Payment Delay (Only)</w:t>
            </w: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6"/>
              </w:rPr>
              <w:t>Trial Modification</w:t>
            </w:r>
          </w:p>
        </w:tc>
        <w:tc>
          <w:tcPr>
            <w:tcW w:w="120" w:type="dxa"/>
            <w:vAlign w:val="bottom"/>
          </w:tcPr>
          <w:p>
            <w:pPr>
              <w:spacing w:after="0"/>
              <w:rPr>
                <w:sz w:val="10"/>
                <w:szCs w:val="10"/>
                <w:color w:val="auto"/>
              </w:rPr>
            </w:pPr>
          </w:p>
        </w:tc>
        <w:tc>
          <w:tcPr>
            <w:tcW w:w="12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8"/>
              </w:rPr>
              <w:t>Payment Delay</w:t>
            </w:r>
          </w:p>
        </w:tc>
        <w:tc>
          <w:tcPr>
            <w:tcW w:w="120" w:type="dxa"/>
            <w:vAlign w:val="bottom"/>
          </w:tcPr>
          <w:p>
            <w:pPr>
              <w:spacing w:after="0"/>
              <w:rPr>
                <w:sz w:val="10"/>
                <w:szCs w:val="10"/>
                <w:color w:val="auto"/>
              </w:rPr>
            </w:pPr>
          </w:p>
        </w:tc>
        <w:tc>
          <w:tcPr>
            <w:tcW w:w="1320" w:type="dxa"/>
            <w:vAlign w:val="bottom"/>
            <w:gridSpan w:val="2"/>
          </w:tcPr>
          <w:p>
            <w:pPr>
              <w:jc w:val="center"/>
              <w:ind w:right="240"/>
              <w:spacing w:after="0" w:line="123" w:lineRule="exact"/>
              <w:rPr>
                <w:sz w:val="20"/>
                <w:szCs w:val="20"/>
                <w:color w:val="auto"/>
              </w:rPr>
            </w:pPr>
            <w:r>
              <w:rPr>
                <w:rFonts w:ascii="Arial" w:cs="Arial" w:eastAsia="Arial" w:hAnsi="Arial"/>
                <w:sz w:val="14"/>
                <w:szCs w:val="14"/>
                <w:b w:val="1"/>
                <w:bCs w:val="1"/>
                <w:color w:val="auto"/>
                <w:w w:val="96"/>
              </w:rPr>
              <w:t>Payment Delay,</w:t>
            </w: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vMerge w:val="restart"/>
          </w:tcPr>
          <w:p>
            <w:pPr>
              <w:jc w:val="center"/>
              <w:ind w:left="5"/>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Term Extension and</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Forbearance Plan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8"/>
              </w:rPr>
              <w:t>Payment Deferral</w:t>
            </w:r>
          </w:p>
        </w:tc>
        <w:tc>
          <w:tcPr>
            <w:tcW w:w="1320" w:type="dxa"/>
            <w:vAlign w:val="bottom"/>
            <w:gridSpan w:val="4"/>
          </w:tcPr>
          <w:p>
            <w:pPr>
              <w:jc w:val="center"/>
              <w:ind w:right="100"/>
              <w:spacing w:after="0" w:line="131" w:lineRule="exact"/>
              <w:rPr>
                <w:sz w:val="20"/>
                <w:szCs w:val="20"/>
                <w:color w:val="auto"/>
              </w:rPr>
            </w:pPr>
            <w:r>
              <w:rPr>
                <w:rFonts w:ascii="Arial" w:cs="Arial" w:eastAsia="Arial" w:hAnsi="Arial"/>
                <w:sz w:val="14"/>
                <w:szCs w:val="14"/>
                <w:b w:val="1"/>
                <w:bCs w:val="1"/>
                <w:color w:val="auto"/>
                <w:w w:val="97"/>
              </w:rPr>
              <w:t>and Repayment</w:t>
            </w:r>
          </w:p>
        </w:tc>
        <w:tc>
          <w:tcPr>
            <w:tcW w:w="120" w:type="dxa"/>
            <w:vAlign w:val="bottom"/>
          </w:tcPr>
          <w:p>
            <w:pPr>
              <w:spacing w:after="0"/>
              <w:rPr>
                <w:sz w:val="11"/>
                <w:szCs w:val="11"/>
                <w:color w:val="auto"/>
              </w:rPr>
            </w:pPr>
          </w:p>
        </w:tc>
        <w:tc>
          <w:tcPr>
            <w:tcW w:w="1220" w:type="dxa"/>
            <w:vAlign w:val="bottom"/>
            <w:gridSpan w:val="3"/>
          </w:tcPr>
          <w:p>
            <w:pPr>
              <w:jc w:val="center"/>
              <w:ind w:right="240"/>
              <w:spacing w:after="0" w:line="131" w:lineRule="exact"/>
              <w:rPr>
                <w:sz w:val="20"/>
                <w:szCs w:val="20"/>
                <w:color w:val="auto"/>
              </w:rPr>
            </w:pPr>
            <w:r>
              <w:rPr>
                <w:rFonts w:ascii="Arial" w:cs="Arial" w:eastAsia="Arial" w:hAnsi="Arial"/>
                <w:sz w:val="14"/>
                <w:szCs w:val="14"/>
                <w:b w:val="1"/>
                <w:bCs w:val="1"/>
                <w:color w:val="auto"/>
                <w:w w:val="98"/>
              </w:rPr>
              <w:t>and Term</w:t>
            </w: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9"/>
              </w:rPr>
              <w:t>Interest Rate</w:t>
            </w:r>
          </w:p>
        </w:tc>
        <w:tc>
          <w:tcPr>
            <w:tcW w:w="280" w:type="dxa"/>
            <w:vAlign w:val="bottom"/>
          </w:tcPr>
          <w:p>
            <w:pPr>
              <w:spacing w:after="0"/>
              <w:rPr>
                <w:sz w:val="11"/>
                <w:szCs w:val="11"/>
                <w:color w:val="auto"/>
              </w:rPr>
            </w:pPr>
          </w:p>
        </w:tc>
        <w:tc>
          <w:tcPr>
            <w:tcW w:w="92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Total</w:t>
            </w:r>
          </w:p>
        </w:tc>
        <w:tc>
          <w:tcPr>
            <w:tcW w:w="1460" w:type="dxa"/>
            <w:vAlign w:val="bottom"/>
          </w:tcPr>
          <w:p>
            <w:pPr>
              <w:jc w:val="center"/>
              <w:ind w:left="25"/>
              <w:spacing w:after="0" w:line="131" w:lineRule="exact"/>
              <w:rPr>
                <w:sz w:val="20"/>
                <w:szCs w:val="20"/>
                <w:color w:val="auto"/>
              </w:rPr>
            </w:pPr>
            <w:r>
              <w:rPr>
                <w:rFonts w:ascii="Arial" w:cs="Arial" w:eastAsia="Arial" w:hAnsi="Arial"/>
                <w:sz w:val="14"/>
                <w:szCs w:val="14"/>
                <w:b w:val="1"/>
                <w:bCs w:val="1"/>
                <w:color w:val="auto"/>
                <w:w w:val="97"/>
              </w:rPr>
              <w:t>by Financing</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bottom w:val="single" w:sz="8" w:color="2C6937"/>
            </w:tcBorders>
            <w:gridSpan w:val="2"/>
            <w:vMerge w:val="continue"/>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300" w:type="dxa"/>
            <w:vAlign w:val="bottom"/>
            <w:tcBorders>
              <w:bottom w:val="single" w:sz="8" w:color="2C6937"/>
            </w:tcBorders>
            <w:gridSpan w:val="4"/>
            <w:vMerge w:val="continue"/>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gridSpan w:val="3"/>
          </w:tcPr>
          <w:p>
            <w:pPr>
              <w:jc w:val="center"/>
              <w:ind w:right="220"/>
              <w:spacing w:after="0"/>
              <w:rPr>
                <w:sz w:val="20"/>
                <w:szCs w:val="20"/>
                <w:color w:val="auto"/>
              </w:rPr>
            </w:pPr>
            <w:r>
              <w:rPr>
                <w:rFonts w:ascii="Arial" w:cs="Arial" w:eastAsia="Arial" w:hAnsi="Arial"/>
                <w:sz w:val="14"/>
                <w:szCs w:val="14"/>
                <w:b w:val="1"/>
                <w:bCs w:val="1"/>
                <w:color w:val="auto"/>
                <w:w w:val="96"/>
              </w:rPr>
              <w:t>Plans</w:t>
            </w:r>
          </w:p>
        </w:tc>
        <w:tc>
          <w:tcPr>
            <w:tcW w:w="12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gridSpan w:val="3"/>
          </w:tcPr>
          <w:p>
            <w:pPr>
              <w:jc w:val="center"/>
              <w:ind w:right="240"/>
              <w:spacing w:after="0" w:line="192" w:lineRule="exact"/>
              <w:rPr>
                <w:sz w:val="20"/>
                <w:szCs w:val="20"/>
                <w:color w:val="auto"/>
              </w:rPr>
            </w:pPr>
            <w:r>
              <w:rPr>
                <w:rFonts w:ascii="Arial" w:cs="Arial" w:eastAsia="Arial" w:hAnsi="Arial"/>
                <w:sz w:val="14"/>
                <w:szCs w:val="14"/>
                <w:b w:val="1"/>
                <w:bCs w:val="1"/>
                <w:color w:val="auto"/>
                <w:w w:val="96"/>
              </w:rPr>
              <w:t>Extension</w:t>
            </w:r>
            <w:r>
              <w:rPr>
                <w:rFonts w:ascii="Arial" w:cs="Arial" w:eastAsia="Arial" w:hAnsi="Arial"/>
                <w:sz w:val="17"/>
                <w:szCs w:val="17"/>
                <w:b w:val="1"/>
                <w:bCs w:val="1"/>
                <w:color w:val="auto"/>
                <w:w w:val="96"/>
                <w:vertAlign w:val="superscript"/>
              </w:rPr>
              <w:t>(1)</w:t>
            </w:r>
          </w:p>
        </w:tc>
        <w:tc>
          <w:tcPr>
            <w:tcW w:w="1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gridSpan w:val="2"/>
          </w:tcPr>
          <w:p>
            <w:pPr>
              <w:jc w:val="center"/>
              <w:ind w:right="220"/>
              <w:spacing w:after="0" w:line="192" w:lineRule="exact"/>
              <w:rPr>
                <w:sz w:val="20"/>
                <w:szCs w:val="20"/>
                <w:color w:val="auto"/>
              </w:rPr>
            </w:pPr>
            <w:r>
              <w:rPr>
                <w:rFonts w:ascii="Arial" w:cs="Arial" w:eastAsia="Arial" w:hAnsi="Arial"/>
                <w:sz w:val="14"/>
                <w:szCs w:val="14"/>
                <w:b w:val="1"/>
                <w:bCs w:val="1"/>
                <w:color w:val="auto"/>
                <w:w w:val="94"/>
              </w:rPr>
              <w:t>Reduction</w:t>
            </w:r>
            <w:r>
              <w:rPr>
                <w:rFonts w:ascii="Arial" w:cs="Arial" w:eastAsia="Arial" w:hAnsi="Arial"/>
                <w:sz w:val="17"/>
                <w:szCs w:val="17"/>
                <w:b w:val="1"/>
                <w:bCs w:val="1"/>
                <w:color w:val="auto"/>
                <w:w w:val="94"/>
                <w:vertAlign w:val="superscript"/>
              </w:rPr>
              <w:t>(1)</w:t>
            </w:r>
          </w:p>
        </w:tc>
        <w:tc>
          <w:tcPr>
            <w:tcW w:w="28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vMerge w:val="continue"/>
          </w:tcPr>
          <w:p>
            <w:pPr>
              <w:spacing w:after="0"/>
              <w:rPr>
                <w:sz w:val="16"/>
                <w:szCs w:val="16"/>
                <w:color w:val="auto"/>
              </w:rPr>
            </w:pPr>
          </w:p>
        </w:tc>
        <w:tc>
          <w:tcPr>
            <w:tcW w:w="1460" w:type="dxa"/>
            <w:vAlign w:val="bottom"/>
            <w:tcBorders>
              <w:bottom w:val="single" w:sz="8" w:color="2C6937"/>
            </w:tcBorders>
          </w:tcPr>
          <w:p>
            <w:pPr>
              <w:jc w:val="center"/>
              <w:ind w:left="25"/>
              <w:spacing w:after="0" w:line="192" w:lineRule="exact"/>
              <w:rPr>
                <w:sz w:val="20"/>
                <w:szCs w:val="20"/>
                <w:color w:val="auto"/>
              </w:rPr>
            </w:pPr>
            <w:r>
              <w:rPr>
                <w:rFonts w:ascii="Arial" w:cs="Arial" w:eastAsia="Arial" w:hAnsi="Arial"/>
                <w:sz w:val="14"/>
                <w:szCs w:val="14"/>
                <w:b w:val="1"/>
                <w:bCs w:val="1"/>
                <w:color w:val="auto"/>
                <w:w w:val="93"/>
              </w:rPr>
              <w:t>Class</w:t>
            </w:r>
            <w:r>
              <w:rPr>
                <w:rFonts w:ascii="Arial" w:cs="Arial" w:eastAsia="Arial" w:hAnsi="Arial"/>
                <w:sz w:val="17"/>
                <w:szCs w:val="17"/>
                <w:b w:val="1"/>
                <w:bCs w:val="1"/>
                <w:color w:val="auto"/>
                <w:w w:val="93"/>
                <w:vertAlign w:val="superscript"/>
              </w:rPr>
              <w:t>(2)</w:t>
            </w: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80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0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80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0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8,107</w:t>
            </w:r>
          </w:p>
        </w:tc>
        <w:tc>
          <w:tcPr>
            <w:tcW w:w="540" w:type="dxa"/>
            <w:vAlign w:val="bottom"/>
            <w:gridSpan w:val="5"/>
          </w:tcPr>
          <w:p>
            <w:pPr>
              <w:jc w:val="right"/>
              <w:ind w:right="268"/>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2,689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3,444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1,746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16,066</w:t>
            </w:r>
          </w:p>
        </w:tc>
        <w:tc>
          <w:tcPr>
            <w:tcW w:w="1460" w:type="dxa"/>
            <w:vAlign w:val="bottom"/>
          </w:tcPr>
          <w:p>
            <w:pPr>
              <w:ind w:left="1160"/>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09"/>
        </w:trPr>
        <w:tc>
          <w:tcPr>
            <w:tcW w:w="180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800" w:type="dxa"/>
            <w:vAlign w:val="bottom"/>
            <w:gridSpan w:val="2"/>
          </w:tcPr>
          <w:p>
            <w:pPr>
              <w:ind w:left="320"/>
              <w:spacing w:after="0"/>
              <w:rPr>
                <w:sz w:val="20"/>
                <w:szCs w:val="20"/>
                <w:color w:val="auto"/>
              </w:rPr>
            </w:pPr>
            <w:r>
              <w:rPr>
                <w:rFonts w:ascii="Arial" w:cs="Arial" w:eastAsia="Arial" w:hAnsi="Arial"/>
                <w:sz w:val="15"/>
                <w:szCs w:val="15"/>
                <w:color w:val="auto"/>
              </w:rPr>
              <w:t>amortizing fixed-</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00" w:type="dxa"/>
            <w:vAlign w:val="bottom"/>
            <w:gridSpan w:val="2"/>
          </w:tcPr>
          <w:p>
            <w:pPr>
              <w:ind w:left="320"/>
              <w:spacing w:after="0"/>
              <w:rPr>
                <w:sz w:val="20"/>
                <w:szCs w:val="20"/>
                <w:color w:val="auto"/>
              </w:rPr>
            </w:pPr>
            <w:r>
              <w:rPr>
                <w:rFonts w:ascii="Arial" w:cs="Arial" w:eastAsia="Arial" w:hAnsi="Arial"/>
                <w:sz w:val="15"/>
                <w:szCs w:val="15"/>
                <w:color w:val="auto"/>
              </w:rPr>
              <w:t>rate</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339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588</w:t>
            </w:r>
          </w:p>
        </w:tc>
        <w:tc>
          <w:tcPr>
            <w:tcW w:w="14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180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69</w:t>
            </w:r>
          </w:p>
        </w:tc>
        <w:tc>
          <w:tcPr>
            <w:tcW w:w="14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7"/>
        </w:trPr>
        <w:tc>
          <w:tcPr>
            <w:tcW w:w="1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89</w:t>
            </w:r>
          </w:p>
        </w:tc>
        <w:tc>
          <w:tcPr>
            <w:tcW w:w="20" w:type="dxa"/>
            <w:vAlign w:val="bottom"/>
            <w:tcBorders>
              <w:bottom w:val="single" w:sz="8" w:color="2C6937"/>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420" w:type="dxa"/>
            <w:vAlign w:val="bottom"/>
            <w:tcBorders>
              <w:bottom w:val="single" w:sz="8" w:color="2C6937"/>
            </w:tcBorders>
          </w:tcPr>
          <w:p>
            <w:pPr>
              <w:spacing w:after="0"/>
              <w:rPr>
                <w:sz w:val="19"/>
                <w:szCs w:val="19"/>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36</w:t>
            </w:r>
          </w:p>
        </w:tc>
        <w:tc>
          <w:tcPr>
            <w:tcW w:w="80" w:type="dxa"/>
            <w:vAlign w:val="bottom"/>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35</w:t>
            </w:r>
          </w:p>
        </w:tc>
        <w:tc>
          <w:tcPr>
            <w:tcW w:w="80" w:type="dxa"/>
            <w:vAlign w:val="bottom"/>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9"/>
                <w:szCs w:val="19"/>
                <w:color w:val="auto"/>
              </w:rPr>
            </w:pPr>
          </w:p>
        </w:tc>
        <w:tc>
          <w:tcPr>
            <w:tcW w:w="28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263</w:t>
            </w:r>
          </w:p>
        </w:tc>
        <w:tc>
          <w:tcPr>
            <w:tcW w:w="1460" w:type="dxa"/>
            <w:vAlign w:val="bottom"/>
          </w:tcPr>
          <w:p>
            <w:pPr>
              <w:ind w:left="11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180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8,581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2,851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3,674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1,782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16,986</w:t>
            </w:r>
          </w:p>
        </w:tc>
        <w:tc>
          <w:tcPr>
            <w:tcW w:w="14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423</w:t>
            </w:r>
          </w:p>
        </w:tc>
        <w:tc>
          <w:tcPr>
            <w:tcW w:w="20" w:type="dxa"/>
            <w:vAlign w:val="bottom"/>
            <w:tcBorders>
              <w:bottom w:val="single" w:sz="8" w:color="2C6937"/>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gridSpan w:val="2"/>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525</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948</w:t>
            </w:r>
          </w:p>
        </w:tc>
        <w:tc>
          <w:tcPr>
            <w:tcW w:w="14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1800" w:type="dxa"/>
            <w:vAlign w:val="bottom"/>
            <w:gridSpan w:val="2"/>
          </w:tcPr>
          <w:p>
            <w:pPr>
              <w:ind w:left="180"/>
              <w:spacing w:after="0" w:line="226"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9,004</w:t>
            </w:r>
          </w:p>
        </w:tc>
        <w:tc>
          <w:tcPr>
            <w:tcW w:w="540" w:type="dxa"/>
            <w:vAlign w:val="bottom"/>
            <w:gridSpan w:val="5"/>
          </w:tcPr>
          <w:p>
            <w:pPr>
              <w:jc w:val="right"/>
              <w:ind w:right="268"/>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2,851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3,674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1,782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623</w:t>
            </w:r>
          </w:p>
        </w:tc>
        <w:tc>
          <w:tcPr>
            <w:tcW w:w="100" w:type="dxa"/>
            <w:vAlign w:val="bottom"/>
          </w:tcPr>
          <w:p>
            <w:pPr>
              <w:spacing w:after="0"/>
              <w:rPr>
                <w:sz w:val="19"/>
                <w:szCs w:val="19"/>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17,934</w:t>
            </w:r>
          </w:p>
        </w:tc>
        <w:tc>
          <w:tcPr>
            <w:tcW w:w="14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7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80" w:name="page81"/>
    <w:bookmarkEnd w:id="80"/>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For the Six Months Ended June 30, 2023</w:t>
      </w:r>
    </w:p>
    <w:p>
      <w:pPr>
        <w:spacing w:after="0" w:line="27" w:lineRule="exact"/>
        <w:rPr>
          <w:sz w:val="20"/>
          <w:szCs w:val="20"/>
          <w:color w:val="auto"/>
        </w:rPr>
      </w:pPr>
    </w:p>
    <w:tbl>
      <w:tblPr>
        <w:tblLayout w:type="fixed"/>
        <w:tblInd w:w="1800" w:type="dxa"/>
        <w:tblCellMar>
          <w:top w:w="0" w:type="dxa"/>
          <w:left w:w="0" w:type="dxa"/>
          <w:bottom w:w="0" w:type="dxa"/>
          <w:right w:w="0" w:type="dxa"/>
        </w:tblCellMar>
      </w:tblPr>
      <w:tr>
        <w:trPr>
          <w:trHeight w:val="199"/>
        </w:trPr>
        <w:tc>
          <w:tcPr>
            <w:tcW w:w="2660" w:type="dxa"/>
            <w:vAlign w:val="bottom"/>
            <w:tcBorders>
              <w:top w:val="single" w:sz="8" w:color="2C6937"/>
              <w:bottom w:val="single" w:sz="8" w:color="2C6937"/>
            </w:tcBorders>
          </w:tcPr>
          <w:p>
            <w:pPr>
              <w:ind w:left="1220"/>
              <w:spacing w:after="0"/>
              <w:rPr>
                <w:sz w:val="20"/>
                <w:szCs w:val="20"/>
                <w:color w:val="auto"/>
              </w:rPr>
            </w:pPr>
            <w:r>
              <w:rPr>
                <w:rFonts w:ascii="Arial" w:cs="Arial" w:eastAsia="Arial" w:hAnsi="Arial"/>
                <w:sz w:val="14"/>
                <w:szCs w:val="14"/>
                <w:b w:val="1"/>
                <w:bCs w:val="1"/>
                <w:color w:val="auto"/>
                <w:w w:val="98"/>
              </w:rPr>
              <w:t>Payment Delay (Only)</w:t>
            </w:r>
          </w:p>
        </w:tc>
        <w:tc>
          <w:tcPr>
            <w:tcW w:w="1200" w:type="dxa"/>
            <w:vAlign w:val="bottom"/>
            <w:tcBorders>
              <w:top w:val="single" w:sz="8" w:color="2C6937"/>
              <w:bottom w:val="single" w:sz="8" w:color="2C6937"/>
            </w:tcBorders>
          </w:tcPr>
          <w:p>
            <w:pPr>
              <w:spacing w:after="0"/>
              <w:rPr>
                <w:sz w:val="17"/>
                <w:szCs w:val="17"/>
                <w:color w:val="auto"/>
              </w:rPr>
            </w:pPr>
          </w:p>
        </w:tc>
        <w:tc>
          <w:tcPr>
            <w:tcW w:w="1320" w:type="dxa"/>
            <w:vAlign w:val="bottom"/>
            <w:tcBorders>
              <w:top w:val="single" w:sz="8" w:color="2C6937"/>
            </w:tcBorders>
          </w:tcPr>
          <w:p>
            <w:pPr>
              <w:spacing w:after="0"/>
              <w:rPr>
                <w:sz w:val="17"/>
                <w:szCs w:val="17"/>
                <w:color w:val="auto"/>
              </w:rPr>
            </w:pPr>
          </w:p>
        </w:tc>
        <w:tc>
          <w:tcPr>
            <w:tcW w:w="1720" w:type="dxa"/>
            <w:vAlign w:val="bottom"/>
            <w:tcBorders>
              <w:top w:val="single" w:sz="8" w:color="2C6937"/>
            </w:tcBorders>
          </w:tcPr>
          <w:p>
            <w:pPr>
              <w:spacing w:after="0"/>
              <w:rPr>
                <w:sz w:val="17"/>
                <w:szCs w:val="17"/>
                <w:color w:val="auto"/>
              </w:rPr>
            </w:pPr>
          </w:p>
        </w:tc>
        <w:tc>
          <w:tcPr>
            <w:tcW w:w="900" w:type="dxa"/>
            <w:vAlign w:val="bottom"/>
            <w:tcBorders>
              <w:top w:val="single" w:sz="8" w:color="2C6937"/>
            </w:tcBorders>
          </w:tcPr>
          <w:p>
            <w:pPr>
              <w:spacing w:after="0"/>
              <w:rPr>
                <w:sz w:val="17"/>
                <w:szCs w:val="17"/>
                <w:color w:val="auto"/>
              </w:rPr>
            </w:pPr>
          </w:p>
        </w:tc>
        <w:tc>
          <w:tcPr>
            <w:tcW w:w="160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660" w:type="dxa"/>
            <w:vAlign w:val="bottom"/>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Trial Modification</w:t>
            </w:r>
          </w:p>
        </w:tc>
        <w:tc>
          <w:tcPr>
            <w:tcW w:w="1320" w:type="dxa"/>
            <w:vAlign w:val="bottom"/>
            <w:vMerge w:val="restart"/>
          </w:tcPr>
          <w:p>
            <w:pPr>
              <w:jc w:val="center"/>
              <w:ind w:left="31"/>
              <w:spacing w:after="0"/>
              <w:rPr>
                <w:sz w:val="20"/>
                <w:szCs w:val="20"/>
                <w:color w:val="auto"/>
              </w:rPr>
            </w:pPr>
            <w:r>
              <w:rPr>
                <w:rFonts w:ascii="Arial" w:cs="Arial" w:eastAsia="Arial" w:hAnsi="Arial"/>
                <w:sz w:val="14"/>
                <w:szCs w:val="14"/>
                <w:b w:val="1"/>
                <w:bCs w:val="1"/>
                <w:color w:val="auto"/>
                <w:w w:val="98"/>
              </w:rPr>
              <w:t>Payment Delay</w:t>
            </w:r>
          </w:p>
        </w:tc>
        <w:tc>
          <w:tcPr>
            <w:tcW w:w="1720" w:type="dxa"/>
            <w:vAlign w:val="bottom"/>
          </w:tcPr>
          <w:p>
            <w:pPr>
              <w:jc w:val="center"/>
              <w:ind w:right="91"/>
              <w:spacing w:after="0" w:line="127" w:lineRule="exact"/>
              <w:rPr>
                <w:sz w:val="20"/>
                <w:szCs w:val="20"/>
                <w:color w:val="auto"/>
              </w:rPr>
            </w:pPr>
            <w:r>
              <w:rPr>
                <w:rFonts w:ascii="Arial" w:cs="Arial" w:eastAsia="Arial" w:hAnsi="Arial"/>
                <w:sz w:val="14"/>
                <w:szCs w:val="14"/>
                <w:b w:val="1"/>
                <w:bCs w:val="1"/>
                <w:color w:val="auto"/>
                <w:w w:val="96"/>
              </w:rPr>
              <w:t>Payment Delay,</w:t>
            </w:r>
          </w:p>
        </w:tc>
        <w:tc>
          <w:tcPr>
            <w:tcW w:w="900" w:type="dxa"/>
            <w:vAlign w:val="bottom"/>
          </w:tcPr>
          <w:p>
            <w:pPr>
              <w:spacing w:after="0"/>
              <w:rPr>
                <w:sz w:val="11"/>
                <w:szCs w:val="11"/>
                <w:color w:val="auto"/>
              </w:rPr>
            </w:pPr>
          </w:p>
        </w:tc>
        <w:tc>
          <w:tcPr>
            <w:tcW w:w="1600" w:type="dxa"/>
            <w:vAlign w:val="bottom"/>
            <w:vMerge w:val="restart"/>
          </w:tcPr>
          <w:p>
            <w:pPr>
              <w:jc w:val="center"/>
              <w:ind w:left="151"/>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38"/>
        </w:trPr>
        <w:tc>
          <w:tcPr>
            <w:tcW w:w="26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720" w:type="dxa"/>
            <w:vAlign w:val="bottom"/>
          </w:tcPr>
          <w:p>
            <w:pPr>
              <w:jc w:val="center"/>
              <w:ind w:right="71"/>
              <w:spacing w:after="0" w:line="139" w:lineRule="exact"/>
              <w:rPr>
                <w:sz w:val="20"/>
                <w:szCs w:val="20"/>
                <w:color w:val="auto"/>
              </w:rPr>
            </w:pPr>
            <w:r>
              <w:rPr>
                <w:rFonts w:ascii="Arial" w:cs="Arial" w:eastAsia="Arial" w:hAnsi="Arial"/>
                <w:sz w:val="14"/>
                <w:szCs w:val="14"/>
                <w:b w:val="1"/>
                <w:bCs w:val="1"/>
                <w:color w:val="auto"/>
                <w:w w:val="97"/>
              </w:rPr>
              <w:t>Term Extension and</w:t>
            </w:r>
          </w:p>
        </w:tc>
        <w:tc>
          <w:tcPr>
            <w:tcW w:w="9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Forbearance Plan  Payment Deferral</w:t>
            </w:r>
          </w:p>
        </w:tc>
        <w:tc>
          <w:tcPr>
            <w:tcW w:w="12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1320" w:type="dxa"/>
            <w:vAlign w:val="bottom"/>
          </w:tcPr>
          <w:p>
            <w:pPr>
              <w:jc w:val="center"/>
              <w:ind w:left="31"/>
              <w:spacing w:after="0" w:line="142" w:lineRule="exact"/>
              <w:rPr>
                <w:sz w:val="20"/>
                <w:szCs w:val="20"/>
                <w:color w:val="auto"/>
              </w:rPr>
            </w:pPr>
            <w:r>
              <w:rPr>
                <w:rFonts w:ascii="Arial" w:cs="Arial" w:eastAsia="Arial" w:hAnsi="Arial"/>
                <w:sz w:val="14"/>
                <w:szCs w:val="14"/>
                <w:b w:val="1"/>
                <w:bCs w:val="1"/>
                <w:color w:val="auto"/>
                <w:w w:val="98"/>
              </w:rPr>
              <w:t>and Term</w:t>
            </w:r>
          </w:p>
        </w:tc>
        <w:tc>
          <w:tcPr>
            <w:tcW w:w="1720" w:type="dxa"/>
            <w:vAlign w:val="bottom"/>
          </w:tcPr>
          <w:p>
            <w:pPr>
              <w:jc w:val="center"/>
              <w:ind w:right="91"/>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1600" w:type="dxa"/>
            <w:vAlign w:val="bottom"/>
          </w:tcPr>
          <w:p>
            <w:pPr>
              <w:jc w:val="center"/>
              <w:ind w:left="171"/>
              <w:spacing w:after="0" w:line="142" w:lineRule="exact"/>
              <w:rPr>
                <w:sz w:val="20"/>
                <w:szCs w:val="20"/>
                <w:color w:val="auto"/>
              </w:rPr>
            </w:pPr>
            <w:r>
              <w:rPr>
                <w:rFonts w:ascii="Arial" w:cs="Arial" w:eastAsia="Arial" w:hAnsi="Arial"/>
                <w:sz w:val="14"/>
                <w:szCs w:val="14"/>
                <w:b w:val="1"/>
                <w:bCs w:val="1"/>
                <w:color w:val="auto"/>
                <w:w w:val="97"/>
              </w:rPr>
              <w:t>by Financing</w:t>
            </w:r>
          </w:p>
        </w:tc>
        <w:tc>
          <w:tcPr>
            <w:tcW w:w="0" w:type="dxa"/>
            <w:vAlign w:val="bottom"/>
          </w:tcPr>
          <w:p>
            <w:pPr>
              <w:spacing w:after="0"/>
              <w:rPr>
                <w:sz w:val="1"/>
                <w:szCs w:val="1"/>
                <w:color w:val="auto"/>
              </w:rPr>
            </w:pPr>
          </w:p>
        </w:tc>
      </w:tr>
      <w:tr>
        <w:trPr>
          <w:trHeight w:val="224"/>
        </w:trPr>
        <w:tc>
          <w:tcPr>
            <w:tcW w:w="2660" w:type="dxa"/>
            <w:vAlign w:val="bottom"/>
            <w:vMerge w:val="continue"/>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Plans</w:t>
            </w:r>
          </w:p>
        </w:tc>
        <w:tc>
          <w:tcPr>
            <w:tcW w:w="1320" w:type="dxa"/>
            <w:vAlign w:val="bottom"/>
          </w:tcPr>
          <w:p>
            <w:pPr>
              <w:jc w:val="center"/>
              <w:ind w:left="31"/>
              <w:spacing w:after="0"/>
              <w:rPr>
                <w:sz w:val="20"/>
                <w:szCs w:val="20"/>
                <w:color w:val="auto"/>
              </w:rPr>
            </w:pPr>
            <w:r>
              <w:rPr>
                <w:rFonts w:ascii="Arial" w:cs="Arial" w:eastAsia="Arial" w:hAnsi="Arial"/>
                <w:sz w:val="14"/>
                <w:szCs w:val="14"/>
                <w:b w:val="1"/>
                <w:bCs w:val="1"/>
                <w:color w:val="auto"/>
              </w:rPr>
              <w:t>Extension</w:t>
            </w:r>
            <w:r>
              <w:rPr>
                <w:rFonts w:ascii="Arial" w:cs="Arial" w:eastAsia="Arial" w:hAnsi="Arial"/>
                <w:sz w:val="8"/>
                <w:szCs w:val="8"/>
                <w:b w:val="1"/>
                <w:bCs w:val="1"/>
                <w:color w:val="auto"/>
              </w:rPr>
              <w:t>(1)</w:t>
            </w:r>
          </w:p>
        </w:tc>
        <w:tc>
          <w:tcPr>
            <w:tcW w:w="1720" w:type="dxa"/>
            <w:vAlign w:val="bottom"/>
          </w:tcPr>
          <w:p>
            <w:pPr>
              <w:jc w:val="center"/>
              <w:ind w:right="71"/>
              <w:spacing w:after="0"/>
              <w:rPr>
                <w:sz w:val="20"/>
                <w:szCs w:val="20"/>
                <w:color w:val="auto"/>
              </w:rPr>
            </w:pPr>
            <w:r>
              <w:rPr>
                <w:rFonts w:ascii="Arial" w:cs="Arial" w:eastAsia="Arial" w:hAnsi="Arial"/>
                <w:sz w:val="14"/>
                <w:szCs w:val="14"/>
                <w:b w:val="1"/>
                <w:bCs w:val="1"/>
                <w:color w:val="auto"/>
                <w:w w:val="94"/>
              </w:rPr>
              <w:t>Reduction</w:t>
            </w:r>
            <w:r>
              <w:rPr>
                <w:rFonts w:ascii="Arial" w:cs="Arial" w:eastAsia="Arial" w:hAnsi="Arial"/>
                <w:sz w:val="17"/>
                <w:szCs w:val="17"/>
                <w:b w:val="1"/>
                <w:bCs w:val="1"/>
                <w:color w:val="auto"/>
                <w:w w:val="94"/>
                <w:vertAlign w:val="superscript"/>
              </w:rPr>
              <w:t>(1)</w:t>
            </w:r>
          </w:p>
        </w:tc>
        <w:tc>
          <w:tcPr>
            <w:tcW w:w="900" w:type="dxa"/>
            <w:vAlign w:val="bottom"/>
            <w:vMerge w:val="continue"/>
          </w:tcPr>
          <w:p>
            <w:pPr>
              <w:spacing w:after="0"/>
              <w:rPr>
                <w:sz w:val="19"/>
                <w:szCs w:val="19"/>
                <w:color w:val="auto"/>
              </w:rPr>
            </w:pPr>
          </w:p>
        </w:tc>
        <w:tc>
          <w:tcPr>
            <w:tcW w:w="1600" w:type="dxa"/>
            <w:vAlign w:val="bottom"/>
          </w:tcPr>
          <w:p>
            <w:pPr>
              <w:jc w:val="center"/>
              <w:ind w:left="171"/>
              <w:spacing w:after="0"/>
              <w:rPr>
                <w:sz w:val="20"/>
                <w:szCs w:val="20"/>
                <w:color w:val="auto"/>
              </w:rPr>
            </w:pPr>
            <w:r>
              <w:rPr>
                <w:rFonts w:ascii="Arial" w:cs="Arial" w:eastAsia="Arial" w:hAnsi="Arial"/>
                <w:sz w:val="14"/>
                <w:szCs w:val="14"/>
                <w:b w:val="1"/>
                <w:bCs w:val="1"/>
                <w:color w:val="auto"/>
              </w:rPr>
              <w:t>Class</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1148080</wp:posOffset>
            </wp:positionH>
            <wp:positionV relativeFrom="paragraph">
              <wp:posOffset>-26670</wp:posOffset>
            </wp:positionV>
            <wp:extent cx="595947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59475" cy="8255"/>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4"/>
          <w:szCs w:val="14"/>
          <w:b w:val="1"/>
          <w:bCs w:val="1"/>
          <w:color w:val="auto"/>
        </w:rPr>
        <w:t>(Dollars in millions)</w:t>
      </w:r>
    </w:p>
    <w:p>
      <w:pPr>
        <w:sectPr>
          <w:pgSz w:w="11900" w:h="16838" w:orient="portrait"/>
          <w:cols w:equalWidth="0" w:num="1">
            <w:col w:w="11200"/>
          </w:cols>
          <w:pgMar w:left="320" w:top="248" w:right="379" w:bottom="1440" w:gutter="0" w:footer="0" w:header="0"/>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180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3"/>
        </w:trPr>
        <w:tc>
          <w:tcPr>
            <w:tcW w:w="180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4"/>
        </w:trPr>
        <w:tc>
          <w:tcPr>
            <w:tcW w:w="180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10,410</w:t>
            </w:r>
          </w:p>
        </w:tc>
        <w:tc>
          <w:tcPr>
            <w:tcW w:w="8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6,207</w:t>
            </w:r>
          </w:p>
        </w:tc>
        <w:tc>
          <w:tcPr>
            <w:tcW w:w="8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5,202</w:t>
            </w:r>
          </w:p>
        </w:tc>
        <w:tc>
          <w:tcPr>
            <w:tcW w:w="10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3,487</w:t>
            </w:r>
          </w:p>
        </w:tc>
        <w:tc>
          <w:tcPr>
            <w:tcW w:w="80" w:type="dxa"/>
            <w:vAlign w:val="bottom"/>
          </w:tcPr>
          <w:p>
            <w:pPr>
              <w:spacing w:after="0"/>
              <w:rPr>
                <w:sz w:val="17"/>
                <w:szCs w:val="17"/>
                <w:color w:val="auto"/>
              </w:rPr>
            </w:pPr>
          </w:p>
        </w:tc>
        <w:tc>
          <w:tcPr>
            <w:tcW w:w="580" w:type="dxa"/>
            <w:vAlign w:val="bottom"/>
          </w:tcPr>
          <w:p>
            <w:pPr>
              <w:jc w:val="right"/>
              <w:ind w:right="40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338</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25,644</w:t>
            </w:r>
          </w:p>
        </w:tc>
      </w:tr>
      <w:tr>
        <w:trPr>
          <w:trHeight w:val="209"/>
        </w:trPr>
        <w:tc>
          <w:tcPr>
            <w:tcW w:w="180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3"/>
        </w:trPr>
        <w:tc>
          <w:tcPr>
            <w:tcW w:w="1800" w:type="dxa"/>
            <w:vAlign w:val="bottom"/>
            <w:gridSpan w:val="2"/>
          </w:tcPr>
          <w:p>
            <w:pPr>
              <w:ind w:left="320"/>
              <w:spacing w:after="0"/>
              <w:rPr>
                <w:sz w:val="20"/>
                <w:szCs w:val="20"/>
                <w:color w:val="auto"/>
              </w:rPr>
            </w:pPr>
            <w:r>
              <w:rPr>
                <w:rFonts w:ascii="Arial" w:cs="Arial" w:eastAsia="Arial" w:hAnsi="Arial"/>
                <w:sz w:val="15"/>
                <w:szCs w:val="15"/>
                <w:color w:val="auto"/>
              </w:rPr>
              <w:t>amortizing fixed-</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4"/>
        </w:trPr>
        <w:tc>
          <w:tcPr>
            <w:tcW w:w="1800" w:type="dxa"/>
            <w:vAlign w:val="bottom"/>
            <w:gridSpan w:val="2"/>
          </w:tcPr>
          <w:p>
            <w:pPr>
              <w:ind w:left="320"/>
              <w:spacing w:after="0"/>
              <w:rPr>
                <w:sz w:val="20"/>
                <w:szCs w:val="20"/>
                <w:color w:val="auto"/>
              </w:rPr>
            </w:pPr>
            <w:r>
              <w:rPr>
                <w:rFonts w:ascii="Arial" w:cs="Arial" w:eastAsia="Arial" w:hAnsi="Arial"/>
                <w:sz w:val="15"/>
                <w:szCs w:val="15"/>
                <w:color w:val="auto"/>
              </w:rPr>
              <w:t>rate</w:t>
            </w:r>
          </w:p>
        </w:tc>
        <w:tc>
          <w:tcPr>
            <w:tcW w:w="40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451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264</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919</w:t>
            </w:r>
          </w:p>
        </w:tc>
      </w:tr>
      <w:tr>
        <w:trPr>
          <w:trHeight w:val="232"/>
        </w:trPr>
        <w:tc>
          <w:tcPr>
            <w:tcW w:w="180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0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239"/>
        </w:trPr>
        <w:tc>
          <w:tcPr>
            <w:tcW w:w="1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20"/>
                <w:szCs w:val="20"/>
                <w:color w:val="auto"/>
              </w:rPr>
            </w:pPr>
          </w:p>
        </w:tc>
        <w:tc>
          <w:tcPr>
            <w:tcW w:w="40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137</w:t>
            </w: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69</w:t>
            </w:r>
          </w:p>
        </w:tc>
        <w:tc>
          <w:tcPr>
            <w:tcW w:w="80" w:type="dxa"/>
            <w:vAlign w:val="bottom"/>
          </w:tcPr>
          <w:p>
            <w:pPr>
              <w:spacing w:after="0"/>
              <w:rPr>
                <w:sz w:val="20"/>
                <w:szCs w:val="20"/>
                <w:color w:val="auto"/>
              </w:rPr>
            </w:pPr>
          </w:p>
        </w:tc>
        <w:tc>
          <w:tcPr>
            <w:tcW w:w="58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469</w:t>
            </w:r>
          </w:p>
        </w:tc>
      </w:tr>
      <w:tr>
        <w:trPr>
          <w:trHeight w:val="218"/>
        </w:trPr>
        <w:tc>
          <w:tcPr>
            <w:tcW w:w="180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0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11,053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6,582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5,557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3,557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27,134</w:t>
            </w:r>
          </w:p>
        </w:tc>
      </w:tr>
      <w:tr>
        <w:trPr>
          <w:trHeight w:val="239"/>
        </w:trPr>
        <w:tc>
          <w:tcPr>
            <w:tcW w:w="1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80" w:type="dxa"/>
            <w:vAlign w:val="bottom"/>
          </w:tcPr>
          <w:p>
            <w:pPr>
              <w:spacing w:after="0"/>
              <w:rPr>
                <w:sz w:val="20"/>
                <w:szCs w:val="20"/>
                <w:color w:val="auto"/>
              </w:rPr>
            </w:pPr>
          </w:p>
        </w:tc>
        <w:tc>
          <w:tcPr>
            <w:tcW w:w="40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784</w:t>
            </w: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58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534</w:t>
            </w:r>
          </w:p>
        </w:tc>
        <w:tc>
          <w:tcPr>
            <w:tcW w:w="1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1,318</w:t>
            </w:r>
          </w:p>
        </w:tc>
      </w:tr>
      <w:tr>
        <w:trPr>
          <w:trHeight w:val="232"/>
        </w:trPr>
        <w:tc>
          <w:tcPr>
            <w:tcW w:w="1800" w:type="dxa"/>
            <w:vAlign w:val="bottom"/>
            <w:gridSpan w:val="2"/>
          </w:tcPr>
          <w:p>
            <w:pPr>
              <w:ind w:left="180"/>
              <w:spacing w:after="0"/>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11,837</w:t>
            </w:r>
          </w:p>
        </w:tc>
        <w:tc>
          <w:tcPr>
            <w:tcW w:w="80" w:type="dxa"/>
            <w:vAlign w:val="bottom"/>
          </w:tcPr>
          <w:p>
            <w:pPr>
              <w:spacing w:after="0"/>
              <w:rPr>
                <w:sz w:val="20"/>
                <w:szCs w:val="20"/>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6,582</w:t>
            </w:r>
          </w:p>
        </w:tc>
        <w:tc>
          <w:tcPr>
            <w:tcW w:w="80" w:type="dxa"/>
            <w:vAlign w:val="bottom"/>
          </w:tcPr>
          <w:p>
            <w:pPr>
              <w:spacing w:after="0"/>
              <w:rPr>
                <w:sz w:val="20"/>
                <w:szCs w:val="20"/>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5,557</w:t>
            </w:r>
          </w:p>
        </w:tc>
        <w:tc>
          <w:tcPr>
            <w:tcW w:w="100" w:type="dxa"/>
            <w:vAlign w:val="bottom"/>
          </w:tcPr>
          <w:p>
            <w:pPr>
              <w:spacing w:after="0"/>
              <w:rPr>
                <w:sz w:val="20"/>
                <w:szCs w:val="20"/>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3,557</w:t>
            </w:r>
          </w:p>
        </w:tc>
        <w:tc>
          <w:tcPr>
            <w:tcW w:w="80" w:type="dxa"/>
            <w:vAlign w:val="bottom"/>
          </w:tcPr>
          <w:p>
            <w:pPr>
              <w:spacing w:after="0"/>
              <w:rPr>
                <w:sz w:val="20"/>
                <w:szCs w:val="20"/>
                <w:color w:val="auto"/>
              </w:rPr>
            </w:pPr>
          </w:p>
        </w:tc>
        <w:tc>
          <w:tcPr>
            <w:tcW w:w="580" w:type="dxa"/>
            <w:vAlign w:val="bottom"/>
          </w:tcPr>
          <w:p>
            <w:pPr>
              <w:jc w:val="right"/>
              <w:ind w:right="40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919</w:t>
            </w:r>
          </w:p>
        </w:tc>
        <w:tc>
          <w:tcPr>
            <w:tcW w:w="100" w:type="dxa"/>
            <w:vAlign w:val="bottom"/>
          </w:tcPr>
          <w:p>
            <w:pPr>
              <w:spacing w:after="0"/>
              <w:rPr>
                <w:sz w:val="20"/>
                <w:szCs w:val="20"/>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28,452</w:t>
            </w:r>
          </w:p>
        </w:tc>
      </w:tr>
      <w:tr>
        <w:trPr>
          <w:trHeight w:val="20"/>
        </w:trPr>
        <w:tc>
          <w:tcPr>
            <w:tcW w:w="17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00" w:hanging="197"/>
        <w:spacing w:after="0"/>
        <w:tabs>
          <w:tab w:leader="none" w:pos="2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less than 0.5% of total by financing class.</w:t>
      </w:r>
    </w:p>
    <w:p>
      <w:pPr>
        <w:spacing w:after="0" w:line="19" w:lineRule="exact"/>
        <w:rPr>
          <w:sz w:val="20"/>
          <w:szCs w:val="20"/>
          <w:color w:val="auto"/>
        </w:rPr>
      </w:pPr>
    </w:p>
    <w:p>
      <w:pPr>
        <w:ind w:left="260" w:hanging="257"/>
        <w:spacing w:after="0"/>
        <w:tabs>
          <w:tab w:leader="none" w:pos="260"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Represents loans that received a contractual modification.</w:t>
      </w:r>
    </w:p>
    <w:p>
      <w:pPr>
        <w:spacing w:after="0" w:line="25" w:lineRule="exact"/>
        <w:rPr>
          <w:rFonts w:ascii="Arial" w:cs="Arial" w:eastAsia="Arial" w:hAnsi="Arial"/>
          <w:sz w:val="18"/>
          <w:szCs w:val="18"/>
          <w:color w:val="auto"/>
          <w:vertAlign w:val="superscript"/>
        </w:rPr>
      </w:pPr>
    </w:p>
    <w:p>
      <w:pPr>
        <w:ind w:left="260" w:hanging="257"/>
        <w:spacing w:after="0"/>
        <w:tabs>
          <w:tab w:leader="none" w:pos="260" w:val="left"/>
        </w:tabs>
        <w:numPr>
          <w:ilvl w:val="0"/>
          <w:numId w:val="74"/>
        </w:numPr>
        <w:rPr>
          <w:rFonts w:ascii="Arial" w:cs="Arial" w:eastAsia="Arial" w:hAnsi="Arial"/>
          <w:sz w:val="9"/>
          <w:szCs w:val="9"/>
          <w:color w:val="auto"/>
        </w:rPr>
      </w:pPr>
      <w:r>
        <w:rPr>
          <w:rFonts w:ascii="Arial" w:cs="Arial" w:eastAsia="Arial" w:hAnsi="Arial"/>
          <w:sz w:val="14"/>
          <w:szCs w:val="14"/>
          <w:color w:val="auto"/>
        </w:rPr>
        <w:t>Based on the amortized cost basis as of period end, divided by the period-end amortized cost basis of the corresponding class of financing receivable.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1 %</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5"/>
          <w:szCs w:val="15"/>
          <w:color w:val="auto"/>
        </w:rPr>
        <w:t>*</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2</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1</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1</w:t>
      </w:r>
    </w:p>
    <w:p>
      <w:pPr>
        <w:spacing w:after="0" w:line="785" w:lineRule="exact"/>
        <w:rPr>
          <w:sz w:val="20"/>
          <w:szCs w:val="20"/>
          <w:color w:val="auto"/>
        </w:rPr>
      </w:pPr>
    </w:p>
    <w:p>
      <w:pPr>
        <w:sectPr>
          <w:pgSz w:w="11900" w:h="16838" w:orient="portrait"/>
          <w:cols w:equalWidth="0" w:num="2">
            <w:col w:w="10160" w:space="720"/>
            <w:col w:w="320"/>
          </w:cols>
          <w:pgMar w:left="320" w:top="248" w:right="379" w:bottom="1440" w:gutter="0" w:footer="0" w:header="0"/>
          <w:type w:val="continuous"/>
        </w:sectPr>
      </w:pPr>
    </w:p>
    <w:p>
      <w:pPr>
        <w:ind w:left="240" w:right="240" w:hanging="237"/>
        <w:spacing w:after="0" w:line="318" w:lineRule="auto"/>
        <w:tabs>
          <w:tab w:leader="none" w:pos="216" w:val="left"/>
        </w:tabs>
        <w:numPr>
          <w:ilvl w:val="0"/>
          <w:numId w:val="75"/>
        </w:numPr>
        <w:rPr>
          <w:rFonts w:ascii="Arial" w:cs="Arial" w:eastAsia="Arial" w:hAnsi="Arial"/>
          <w:sz w:val="8"/>
          <w:szCs w:val="8"/>
          <w:color w:val="auto"/>
        </w:rPr>
      </w:pPr>
      <w:r>
        <w:rPr>
          <w:rFonts w:ascii="Arial" w:cs="Arial" w:eastAsia="Arial" w:hAnsi="Arial"/>
          <w:sz w:val="13"/>
          <w:szCs w:val="13"/>
          <w:color w:val="auto"/>
        </w:rPr>
        <w:t>Excludes loans that were the subject of loss mitigation activity during the period that paid off, repurchased or sold prior to period end. Also excludes loans that liquidated either through foreclosure, deed-in-lieu of foreclosure, or a short sale. Loans may move from one category to another, as a result of the restructuring(s) they received during the period.</w:t>
      </w:r>
    </w:p>
    <w:p>
      <w:pPr>
        <w:spacing w:after="0" w:line="2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Our estimate of future credit losses uses a lifetime methodology, derived from modeled loan performance based on extensive historical experience of loans with similar risk characteristics, adjusted to reflect current conditions and reasonable and supportable forecasts. The historical loss experience used in our single-family and multifamily credit loss models includes the impact of the loss mitigation options provided to borrowers experiencing financial difficulty, and also includes the impact of projected loss severities as a result of a loan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363855</wp:posOffset>
            </wp:positionV>
            <wp:extent cx="680593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type w:val="continuous"/>
        </w:sectPr>
      </w:pPr>
    </w:p>
    <w:bookmarkStart w:id="81" w:name="page82"/>
    <w:bookmarkEnd w:id="81"/>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0"/>
        <w:spacing w:after="0" w:line="272" w:lineRule="auto"/>
        <w:rPr>
          <w:sz w:val="20"/>
          <w:szCs w:val="20"/>
          <w:color w:val="auto"/>
        </w:rPr>
      </w:pPr>
      <w:r>
        <w:rPr>
          <w:rFonts w:ascii="Arial" w:cs="Arial" w:eastAsia="Arial" w:hAnsi="Arial"/>
          <w:sz w:val="16"/>
          <w:szCs w:val="16"/>
          <w:color w:val="auto"/>
        </w:rPr>
        <w:t>The following table summarizes the financial impacts of loan modifications and payment deferrals made to single-family HFI loans presented by class of financing receivable. We discuss the qualitative impacts of forbearance plans, repayment plans, and trial modifications earlier in this footnote. As a result, those loss mitigation options are excluded from the table below.</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760" w:type="dxa"/>
            <w:vAlign w:val="bottom"/>
            <w:tcBorders>
              <w:bottom w:val="single" w:sz="8" w:color="2C6937"/>
            </w:tcBorders>
            <w:gridSpan w:val="8"/>
          </w:tcPr>
          <w:p>
            <w:pPr>
              <w:ind w:left="160"/>
              <w:spacing w:after="0"/>
              <w:rPr>
                <w:sz w:val="20"/>
                <w:szCs w:val="20"/>
                <w:color w:val="auto"/>
              </w:rPr>
            </w:pPr>
            <w:r>
              <w:rPr>
                <w:rFonts w:ascii="Arial" w:cs="Arial" w:eastAsia="Arial" w:hAnsi="Arial"/>
                <w:sz w:val="14"/>
                <w:szCs w:val="14"/>
                <w:b w:val="1"/>
                <w:bCs w:val="1"/>
                <w:color w:val="auto"/>
              </w:rPr>
              <w:t>For the Three Months Ended June 30,</w:t>
            </w:r>
          </w:p>
        </w:tc>
        <w:tc>
          <w:tcPr>
            <w:tcW w:w="88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gridSpan w:val="2"/>
          </w:tcPr>
          <w:p>
            <w:pPr>
              <w:jc w:val="right"/>
              <w:ind w:right="10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2C6937"/>
            </w:tcBorders>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Weighted-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Average Amount</w:t>
            </w:r>
          </w:p>
        </w:tc>
        <w:tc>
          <w:tcPr>
            <w:tcW w:w="13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w:t>
            </w:r>
          </w:p>
        </w:tc>
        <w:tc>
          <w:tcPr>
            <w:tcW w:w="1160" w:type="dxa"/>
            <w:vAlign w:val="bottom"/>
            <w:gridSpan w:val="5"/>
          </w:tcPr>
          <w:p>
            <w:pPr>
              <w:jc w:val="center"/>
              <w:ind w:right="20"/>
              <w:spacing w:after="0" w:line="142" w:lineRule="exact"/>
              <w:rPr>
                <w:sz w:val="20"/>
                <w:szCs w:val="20"/>
                <w:color w:val="auto"/>
              </w:rPr>
            </w:pPr>
            <w:r>
              <w:rPr>
                <w:rFonts w:ascii="Arial" w:cs="Arial" w:eastAsia="Arial" w:hAnsi="Arial"/>
                <w:sz w:val="14"/>
                <w:szCs w:val="14"/>
                <w:b w:val="1"/>
                <w:bCs w:val="1"/>
                <w:color w:val="auto"/>
                <w:w w:val="97"/>
              </w:rPr>
              <w:t>Weighted-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Average Amount</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7"/>
              </w:rPr>
              <w:t>Weighted-Average</w:t>
            </w:r>
          </w:p>
        </w:tc>
        <w:tc>
          <w:tcPr>
            <w:tcW w:w="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1340" w:type="dxa"/>
            <w:vAlign w:val="bottom"/>
            <w:gridSpan w:val="4"/>
            <w:vMerge w:val="continue"/>
          </w:tcPr>
          <w:p>
            <w:pPr>
              <w:spacing w:after="0"/>
              <w:rPr>
                <w:sz w:val="11"/>
                <w:szCs w:val="11"/>
                <w:color w:val="auto"/>
              </w:rPr>
            </w:pPr>
          </w:p>
        </w:tc>
        <w:tc>
          <w:tcPr>
            <w:tcW w:w="880" w:type="dxa"/>
            <w:vAlign w:val="bottom"/>
          </w:tcPr>
          <w:p>
            <w:pPr>
              <w:jc w:val="center"/>
              <w:ind w:left="148"/>
              <w:spacing w:after="0" w:line="129" w:lineRule="exact"/>
              <w:rPr>
                <w:sz w:val="20"/>
                <w:szCs w:val="20"/>
                <w:color w:val="auto"/>
              </w:rPr>
            </w:pPr>
            <w:r>
              <w:rPr>
                <w:rFonts w:ascii="Arial" w:cs="Arial" w:eastAsia="Arial" w:hAnsi="Arial"/>
                <w:sz w:val="14"/>
                <w:szCs w:val="14"/>
                <w:b w:val="1"/>
                <w:bCs w:val="1"/>
                <w:color w:val="auto"/>
                <w:w w:val="97"/>
              </w:rPr>
              <w:t>Average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Average Term</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rPr>
              <w:t>Capitalized as</w:t>
            </w:r>
          </w:p>
        </w:tc>
        <w:tc>
          <w:tcPr>
            <w:tcW w:w="134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7"/>
              </w:rPr>
              <w:t>Average</w:t>
            </w:r>
          </w:p>
        </w:tc>
        <w:tc>
          <w:tcPr>
            <w:tcW w:w="880" w:type="dxa"/>
            <w:vAlign w:val="bottom"/>
          </w:tcPr>
          <w:p>
            <w:pPr>
              <w:jc w:val="center"/>
              <w:ind w:left="148"/>
              <w:spacing w:after="0" w:line="142" w:lineRule="exact"/>
              <w:rPr>
                <w:sz w:val="20"/>
                <w:szCs w:val="20"/>
                <w:color w:val="auto"/>
              </w:rPr>
            </w:pPr>
            <w:r>
              <w:rPr>
                <w:rFonts w:ascii="Arial" w:cs="Arial" w:eastAsia="Arial" w:hAnsi="Arial"/>
                <w:sz w:val="14"/>
                <w:szCs w:val="14"/>
                <w:b w:val="1"/>
                <w:bCs w:val="1"/>
                <w:color w:val="auto"/>
                <w:w w:val="99"/>
              </w:rPr>
              <w:t>Term</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Capitalized as</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Interest Rate</w:t>
            </w:r>
          </w:p>
        </w:tc>
        <w:tc>
          <w:tcPr>
            <w:tcW w:w="80" w:type="dxa"/>
            <w:vAlign w:val="bottom"/>
          </w:tcPr>
          <w:p>
            <w:pPr>
              <w:spacing w:after="0"/>
              <w:rPr>
                <w:sz w:val="12"/>
                <w:szCs w:val="12"/>
                <w:color w:val="auto"/>
              </w:rPr>
            </w:pPr>
          </w:p>
        </w:tc>
        <w:tc>
          <w:tcPr>
            <w:tcW w:w="10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Extension (in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ind w:left="200"/>
              <w:spacing w:after="0" w:line="142" w:lineRule="exact"/>
              <w:rPr>
                <w:sz w:val="20"/>
                <w:szCs w:val="20"/>
                <w:color w:val="auto"/>
              </w:rPr>
            </w:pPr>
            <w:r>
              <w:rPr>
                <w:rFonts w:ascii="Arial" w:cs="Arial" w:eastAsia="Arial" w:hAnsi="Arial"/>
                <w:sz w:val="14"/>
                <w:szCs w:val="14"/>
                <w:b w:val="1"/>
                <w:bCs w:val="1"/>
                <w:color w:val="auto"/>
              </w:rPr>
              <w:t>a Result of a</w:t>
            </w:r>
          </w:p>
        </w:tc>
        <w:tc>
          <w:tcPr>
            <w:tcW w:w="1340" w:type="dxa"/>
            <w:vAlign w:val="bottom"/>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880" w:type="dxa"/>
            <w:vAlign w:val="bottom"/>
          </w:tcPr>
          <w:p>
            <w:pPr>
              <w:jc w:val="center"/>
              <w:ind w:left="148"/>
              <w:spacing w:after="0" w:line="142" w:lineRule="exact"/>
              <w:rPr>
                <w:sz w:val="20"/>
                <w:szCs w:val="20"/>
                <w:color w:val="auto"/>
              </w:rPr>
            </w:pPr>
            <w:r>
              <w:rPr>
                <w:rFonts w:ascii="Arial" w:cs="Arial" w:eastAsia="Arial" w:hAnsi="Arial"/>
                <w:sz w:val="14"/>
                <w:szCs w:val="14"/>
                <w:b w:val="1"/>
                <w:bCs w:val="1"/>
                <w:color w:val="auto"/>
                <w:w w:val="98"/>
              </w:rPr>
              <w:t>Extension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0" w:type="dxa"/>
            <w:vAlign w:val="bottom"/>
          </w:tcPr>
          <w:p>
            <w:pPr>
              <w:spacing w:after="0"/>
              <w:rPr>
                <w:sz w:val="1"/>
                <w:szCs w:val="1"/>
                <w:color w:val="auto"/>
              </w:rPr>
            </w:pPr>
          </w:p>
        </w:tc>
      </w:tr>
      <w:tr>
        <w:trPr>
          <w:trHeight w:val="180"/>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Reduction</w:t>
            </w:r>
          </w:p>
        </w:tc>
        <w:tc>
          <w:tcPr>
            <w:tcW w:w="8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Months)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4"/>
          </w:tcPr>
          <w:p>
            <w:pPr>
              <w:ind w:left="80"/>
              <w:spacing w:after="0" w:line="180" w:lineRule="exact"/>
              <w:rPr>
                <w:sz w:val="20"/>
                <w:szCs w:val="20"/>
                <w:color w:val="auto"/>
              </w:rPr>
            </w:pPr>
            <w:r>
              <w:rPr>
                <w:rFonts w:ascii="Arial" w:cs="Arial" w:eastAsia="Arial" w:hAnsi="Arial"/>
                <w:sz w:val="14"/>
                <w:szCs w:val="14"/>
                <w:b w:val="1"/>
                <w:bCs w:val="1"/>
                <w:color w:val="auto"/>
              </w:rPr>
              <w:t>Payment Delay</w:t>
            </w:r>
            <w:r>
              <w:rPr>
                <w:rFonts w:ascii="Arial" w:cs="Arial" w:eastAsia="Arial" w:hAnsi="Arial"/>
                <w:sz w:val="17"/>
                <w:szCs w:val="17"/>
                <w:b w:val="1"/>
                <w:bCs w:val="1"/>
                <w:color w:val="auto"/>
                <w:vertAlign w:val="superscript"/>
              </w:rPr>
              <w:t>(1)</w:t>
            </w:r>
          </w:p>
        </w:tc>
        <w:tc>
          <w:tcPr>
            <w:tcW w:w="13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6"/>
              </w:rPr>
              <w:t>Reduction</w:t>
            </w:r>
          </w:p>
        </w:tc>
        <w:tc>
          <w:tcPr>
            <w:tcW w:w="11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8"/>
              </w:rPr>
              <w:t>(in Months)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140"/>
              <w:spacing w:after="0" w:line="180" w:lineRule="exact"/>
              <w:rPr>
                <w:sz w:val="20"/>
                <w:szCs w:val="20"/>
                <w:color w:val="auto"/>
              </w:rPr>
            </w:pPr>
            <w:r>
              <w:rPr>
                <w:rFonts w:ascii="Arial" w:cs="Arial" w:eastAsia="Arial" w:hAnsi="Arial"/>
                <w:sz w:val="14"/>
                <w:szCs w:val="14"/>
                <w:b w:val="1"/>
                <w:bCs w:val="1"/>
                <w:color w:val="auto"/>
                <w:w w:val="95"/>
              </w:rPr>
              <w:t>Payment Delay</w:t>
            </w:r>
            <w:r>
              <w:rPr>
                <w:rFonts w:ascii="Arial" w:cs="Arial" w:eastAsia="Arial" w:hAnsi="Arial"/>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264"/>
        </w:trPr>
        <w:tc>
          <w:tcPr>
            <w:tcW w:w="3040" w:type="dxa"/>
            <w:vAlign w:val="bottom"/>
          </w:tcPr>
          <w:p>
            <w:pPr>
              <w:spacing w:after="0"/>
              <w:rPr>
                <w:sz w:val="20"/>
                <w:szCs w:val="20"/>
                <w:color w:val="auto"/>
              </w:rPr>
            </w:pPr>
            <w:r>
              <w:rPr>
                <w:rFonts w:ascii="Arial" w:cs="Arial" w:eastAsia="Arial" w:hAnsi="Arial"/>
                <w:sz w:val="13"/>
                <w:szCs w:val="13"/>
                <w:color w:val="auto"/>
              </w:rPr>
              <w:t>Loan by class of financing receivable:</w:t>
            </w:r>
            <w:r>
              <w:rPr>
                <w:rFonts w:ascii="Arial" w:cs="Arial" w:eastAsia="Arial" w:hAnsi="Arial"/>
                <w:sz w:val="16"/>
                <w:szCs w:val="16"/>
                <w:color w:val="auto"/>
                <w:vertAlign w:val="superscript"/>
              </w:rPr>
              <w:t>(2)</w:t>
            </w:r>
          </w:p>
        </w:tc>
        <w:tc>
          <w:tcPr>
            <w:tcW w:w="100" w:type="dxa"/>
            <w:vAlign w:val="bottom"/>
          </w:tcPr>
          <w:p>
            <w:pPr>
              <w:spacing w:after="0"/>
              <w:rPr>
                <w:sz w:val="22"/>
                <w:szCs w:val="22"/>
                <w:color w:val="auto"/>
              </w:rPr>
            </w:pPr>
          </w:p>
        </w:tc>
        <w:tc>
          <w:tcPr>
            <w:tcW w:w="1140" w:type="dxa"/>
            <w:vAlign w:val="bottom"/>
            <w:tcBorders>
              <w:top w:val="single" w:sz="8" w:color="2C6937"/>
            </w:tcBorders>
          </w:tcPr>
          <w:p>
            <w:pPr>
              <w:spacing w:after="0"/>
              <w:rPr>
                <w:sz w:val="22"/>
                <w:szCs w:val="22"/>
                <w:color w:val="auto"/>
              </w:rPr>
            </w:pPr>
          </w:p>
        </w:tc>
        <w:tc>
          <w:tcPr>
            <w:tcW w:w="80" w:type="dxa"/>
            <w:vAlign w:val="bottom"/>
            <w:tcBorders>
              <w:top w:val="single" w:sz="8" w:color="2C6937"/>
            </w:tcBorders>
          </w:tcPr>
          <w:p>
            <w:pPr>
              <w:spacing w:after="0"/>
              <w:rPr>
                <w:sz w:val="22"/>
                <w:szCs w:val="22"/>
                <w:color w:val="auto"/>
              </w:rPr>
            </w:pPr>
          </w:p>
        </w:tc>
        <w:tc>
          <w:tcPr>
            <w:tcW w:w="40" w:type="dxa"/>
            <w:vAlign w:val="bottom"/>
            <w:tcBorders>
              <w:top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Borders>
              <w:top w:val="single" w:sz="8" w:color="2C6937"/>
            </w:tcBorders>
          </w:tcPr>
          <w:p>
            <w:pPr>
              <w:spacing w:after="0"/>
              <w:rPr>
                <w:sz w:val="22"/>
                <w:szCs w:val="22"/>
                <w:color w:val="auto"/>
              </w:rPr>
            </w:pPr>
          </w:p>
        </w:tc>
        <w:tc>
          <w:tcPr>
            <w:tcW w:w="80" w:type="dxa"/>
            <w:vAlign w:val="bottom"/>
            <w:tcBorders>
              <w:top w:val="single" w:sz="8" w:color="2C6937"/>
            </w:tcBorders>
          </w:tcPr>
          <w:p>
            <w:pPr>
              <w:spacing w:after="0"/>
              <w:rPr>
                <w:sz w:val="22"/>
                <w:szCs w:val="22"/>
                <w:color w:val="auto"/>
              </w:rPr>
            </w:pPr>
          </w:p>
        </w:tc>
        <w:tc>
          <w:tcPr>
            <w:tcW w:w="40" w:type="dxa"/>
            <w:vAlign w:val="bottom"/>
            <w:tcBorders>
              <w:top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2C6937"/>
            </w:tcBorders>
          </w:tcPr>
          <w:p>
            <w:pPr>
              <w:spacing w:after="0"/>
              <w:rPr>
                <w:sz w:val="22"/>
                <w:szCs w:val="22"/>
                <w:color w:val="auto"/>
              </w:rPr>
            </w:pPr>
          </w:p>
        </w:tc>
        <w:tc>
          <w:tcPr>
            <w:tcW w:w="1180" w:type="dxa"/>
            <w:vAlign w:val="bottom"/>
            <w:tcBorders>
              <w:top w:val="single" w:sz="8" w:color="2C6937"/>
            </w:tcBorders>
          </w:tcPr>
          <w:p>
            <w:pPr>
              <w:spacing w:after="0"/>
              <w:rPr>
                <w:sz w:val="22"/>
                <w:szCs w:val="22"/>
                <w:color w:val="auto"/>
              </w:rPr>
            </w:pPr>
          </w:p>
        </w:tc>
        <w:tc>
          <w:tcPr>
            <w:tcW w:w="80" w:type="dxa"/>
            <w:vAlign w:val="bottom"/>
            <w:tcBorders>
              <w:top w:val="single" w:sz="8" w:color="2C6937"/>
            </w:tcBorders>
          </w:tcPr>
          <w:p>
            <w:pPr>
              <w:spacing w:after="0"/>
              <w:rPr>
                <w:sz w:val="22"/>
                <w:szCs w:val="22"/>
                <w:color w:val="auto"/>
              </w:rPr>
            </w:pPr>
          </w:p>
        </w:tc>
        <w:tc>
          <w:tcPr>
            <w:tcW w:w="80" w:type="dxa"/>
            <w:vAlign w:val="bottom"/>
            <w:tcBorders>
              <w:top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top w:val="single" w:sz="8" w:color="2C6937"/>
            </w:tcBorders>
          </w:tcPr>
          <w:p>
            <w:pPr>
              <w:spacing w:after="0"/>
              <w:rPr>
                <w:sz w:val="22"/>
                <w:szCs w:val="22"/>
                <w:color w:val="auto"/>
              </w:rPr>
            </w:pPr>
          </w:p>
        </w:tc>
        <w:tc>
          <w:tcPr>
            <w:tcW w:w="80" w:type="dxa"/>
            <w:vAlign w:val="bottom"/>
            <w:tcBorders>
              <w:top w:val="single" w:sz="8" w:color="2C6937"/>
            </w:tcBorders>
          </w:tcPr>
          <w:p>
            <w:pPr>
              <w:spacing w:after="0"/>
              <w:rPr>
                <w:sz w:val="22"/>
                <w:szCs w:val="22"/>
                <w:color w:val="auto"/>
              </w:rPr>
            </w:pPr>
          </w:p>
        </w:tc>
        <w:tc>
          <w:tcPr>
            <w:tcW w:w="100" w:type="dxa"/>
            <w:vAlign w:val="bottom"/>
            <w:tcBorders>
              <w:top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Borders>
              <w:top w:val="single" w:sz="8" w:color="2C6937"/>
            </w:tcBorders>
          </w:tcPr>
          <w:p>
            <w:pPr>
              <w:spacing w:after="0"/>
              <w:rPr>
                <w:sz w:val="22"/>
                <w:szCs w:val="22"/>
                <w:color w:val="auto"/>
              </w:rPr>
            </w:pPr>
          </w:p>
        </w:tc>
        <w:tc>
          <w:tcPr>
            <w:tcW w:w="60" w:type="dxa"/>
            <w:vAlign w:val="bottom"/>
            <w:tcBorders>
              <w:top w:val="single" w:sz="8" w:color="2C6937"/>
            </w:tcBorders>
          </w:tcPr>
          <w:p>
            <w:pPr>
              <w:spacing w:after="0"/>
              <w:rPr>
                <w:sz w:val="22"/>
                <w:szCs w:val="22"/>
                <w:color w:val="auto"/>
              </w:rPr>
            </w:pPr>
          </w:p>
        </w:tc>
        <w:tc>
          <w:tcPr>
            <w:tcW w:w="80" w:type="dxa"/>
            <w:vAlign w:val="bottom"/>
            <w:tcBorders>
              <w:top w:val="single" w:sz="8" w:color="2C6937"/>
            </w:tcBorders>
          </w:tcPr>
          <w:p>
            <w:pPr>
              <w:spacing w:after="0"/>
              <w:rPr>
                <w:sz w:val="22"/>
                <w:szCs w:val="22"/>
                <w:color w:val="auto"/>
              </w:rPr>
            </w:pPr>
          </w:p>
        </w:tc>
        <w:tc>
          <w:tcPr>
            <w:tcW w:w="120" w:type="dxa"/>
            <w:vAlign w:val="bottom"/>
            <w:tcBorders>
              <w:top w:val="single" w:sz="8" w:color="2C6937"/>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2C6937"/>
            </w:tcBorders>
          </w:tcPr>
          <w:p>
            <w:pPr>
              <w:spacing w:after="0"/>
              <w:rPr>
                <w:sz w:val="22"/>
                <w:szCs w:val="22"/>
                <w:color w:val="auto"/>
              </w:rPr>
            </w:pPr>
          </w:p>
        </w:tc>
        <w:tc>
          <w:tcPr>
            <w:tcW w:w="1080" w:type="dxa"/>
            <w:vAlign w:val="bottom"/>
            <w:tcBorders>
              <w:top w:val="single" w:sz="8" w:color="2C6937"/>
            </w:tcBorders>
          </w:tcPr>
          <w:p>
            <w:pPr>
              <w:spacing w:after="0"/>
              <w:rPr>
                <w:sz w:val="22"/>
                <w:szCs w:val="22"/>
                <w:color w:val="auto"/>
              </w:rPr>
            </w:pPr>
          </w:p>
        </w:tc>
        <w:tc>
          <w:tcPr>
            <w:tcW w:w="220" w:type="dxa"/>
            <w:vAlign w:val="bottom"/>
            <w:tcBorders>
              <w:top w:val="single" w:sz="8" w:color="2C6937"/>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040" w:type="dxa"/>
            <w:vAlign w:val="bottom"/>
          </w:tcPr>
          <w:p>
            <w:pPr>
              <w:ind w:left="160"/>
              <w:spacing w:after="0"/>
              <w:rPr>
                <w:sz w:val="20"/>
                <w:szCs w:val="20"/>
                <w:color w:val="auto"/>
              </w:rPr>
            </w:pPr>
            <w:r>
              <w:rPr>
                <w:rFonts w:ascii="Arial" w:cs="Arial" w:eastAsia="Arial" w:hAnsi="Arial"/>
                <w:sz w:val="13"/>
                <w:szCs w:val="13"/>
                <w:color w:val="auto"/>
              </w:rPr>
              <w:t>20- and 30-year or more, amortizing fixed-rate</w:t>
            </w:r>
          </w:p>
        </w:tc>
        <w:tc>
          <w:tcPr>
            <w:tcW w:w="1360" w:type="dxa"/>
            <w:vAlign w:val="bottom"/>
            <w:gridSpan w:val="4"/>
          </w:tcPr>
          <w:p>
            <w:pPr>
              <w:jc w:val="right"/>
              <w:ind w:right="20"/>
              <w:spacing w:after="0"/>
              <w:rPr>
                <w:sz w:val="20"/>
                <w:szCs w:val="20"/>
                <w:color w:val="auto"/>
              </w:rPr>
            </w:pPr>
            <w:r>
              <w:rPr>
                <w:rFonts w:ascii="Arial" w:cs="Arial" w:eastAsia="Arial" w:hAnsi="Arial"/>
                <w:sz w:val="15"/>
                <w:szCs w:val="15"/>
                <w:color w:val="auto"/>
              </w:rPr>
              <w:t>0.74 %</w:t>
            </w:r>
          </w:p>
        </w:tc>
        <w:tc>
          <w:tcPr>
            <w:tcW w:w="1160" w:type="dxa"/>
            <w:vAlign w:val="bottom"/>
            <w:gridSpan w:val="3"/>
          </w:tcPr>
          <w:p>
            <w:pPr>
              <w:jc w:val="right"/>
              <w:ind w:right="20"/>
              <w:spacing w:after="0"/>
              <w:rPr>
                <w:sz w:val="20"/>
                <w:szCs w:val="20"/>
                <w:color w:val="auto"/>
              </w:rPr>
            </w:pPr>
            <w:r>
              <w:rPr>
                <w:rFonts w:ascii="Arial" w:cs="Arial" w:eastAsia="Arial" w:hAnsi="Arial"/>
                <w:sz w:val="15"/>
                <w:szCs w:val="15"/>
                <w:color w:val="auto"/>
              </w:rPr>
              <w:t>160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80"/>
              <w:spacing w:after="0"/>
              <w:rPr>
                <w:sz w:val="20"/>
                <w:szCs w:val="20"/>
                <w:color w:val="auto"/>
              </w:rPr>
            </w:pPr>
            <w:r>
              <w:rPr>
                <w:rFonts w:ascii="Arial" w:cs="Arial" w:eastAsia="Arial" w:hAnsi="Arial"/>
                <w:sz w:val="15"/>
                <w:szCs w:val="15"/>
                <w:color w:val="auto"/>
              </w:rPr>
              <w:t>13,518</w:t>
            </w:r>
          </w:p>
        </w:tc>
        <w:tc>
          <w:tcPr>
            <w:tcW w:w="80" w:type="dxa"/>
            <w:vAlign w:val="bottom"/>
          </w:tcPr>
          <w:p>
            <w:pPr>
              <w:spacing w:after="0"/>
              <w:rPr>
                <w:sz w:val="17"/>
                <w:szCs w:val="17"/>
                <w:color w:val="auto"/>
              </w:rPr>
            </w:pPr>
          </w:p>
        </w:tc>
        <w:tc>
          <w:tcPr>
            <w:tcW w:w="1260" w:type="dxa"/>
            <w:vAlign w:val="bottom"/>
            <w:gridSpan w:val="3"/>
          </w:tcPr>
          <w:p>
            <w:pPr>
              <w:ind w:left="760"/>
              <w:spacing w:after="0"/>
              <w:rPr>
                <w:sz w:val="20"/>
                <w:szCs w:val="20"/>
                <w:color w:val="auto"/>
              </w:rPr>
            </w:pPr>
            <w:r>
              <w:rPr>
                <w:rFonts w:ascii="Arial" w:cs="Arial" w:eastAsia="Arial" w:hAnsi="Arial"/>
                <w:sz w:val="15"/>
                <w:szCs w:val="15"/>
                <w:color w:val="auto"/>
              </w:rPr>
              <w:t>1.15 %</w:t>
            </w:r>
          </w:p>
        </w:tc>
        <w:tc>
          <w:tcPr>
            <w:tcW w:w="80" w:type="dxa"/>
            <w:vAlign w:val="bottom"/>
          </w:tcPr>
          <w:p>
            <w:pPr>
              <w:spacing w:after="0"/>
              <w:rPr>
                <w:sz w:val="17"/>
                <w:szCs w:val="17"/>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5"/>
                <w:szCs w:val="15"/>
                <w:color w:val="auto"/>
              </w:rPr>
              <w:t>172</w:t>
            </w:r>
          </w:p>
        </w:tc>
        <w:tc>
          <w:tcPr>
            <w:tcW w:w="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16,661</w:t>
            </w:r>
          </w:p>
        </w:tc>
        <w:tc>
          <w:tcPr>
            <w:tcW w:w="0" w:type="dxa"/>
            <w:vAlign w:val="bottom"/>
          </w:tcPr>
          <w:p>
            <w:pPr>
              <w:spacing w:after="0"/>
              <w:rPr>
                <w:sz w:val="1"/>
                <w:szCs w:val="1"/>
                <w:color w:val="auto"/>
              </w:rPr>
            </w:pPr>
          </w:p>
        </w:tc>
      </w:tr>
      <w:tr>
        <w:trPr>
          <w:trHeight w:val="206"/>
        </w:trPr>
        <w:tc>
          <w:tcPr>
            <w:tcW w:w="3040" w:type="dxa"/>
            <w:vAlign w:val="bottom"/>
          </w:tcPr>
          <w:p>
            <w:pPr>
              <w:ind w:left="160"/>
              <w:spacing w:after="0"/>
              <w:rPr>
                <w:sz w:val="20"/>
                <w:szCs w:val="20"/>
                <w:color w:val="auto"/>
              </w:rPr>
            </w:pPr>
            <w:r>
              <w:rPr>
                <w:rFonts w:ascii="Arial" w:cs="Arial" w:eastAsia="Arial" w:hAnsi="Arial"/>
                <w:sz w:val="13"/>
                <w:szCs w:val="13"/>
                <w:color w:val="auto"/>
              </w:rPr>
              <w:t>15-year or less, amortizing fixed-rate</w:t>
            </w:r>
          </w:p>
        </w:tc>
        <w:tc>
          <w:tcPr>
            <w:tcW w:w="1240" w:type="dxa"/>
            <w:vAlign w:val="bottom"/>
            <w:gridSpan w:val="2"/>
          </w:tcPr>
          <w:p>
            <w:pPr>
              <w:jc w:val="right"/>
              <w:ind w:right="10"/>
              <w:spacing w:after="0"/>
              <w:rPr>
                <w:sz w:val="20"/>
                <w:szCs w:val="20"/>
                <w:color w:val="auto"/>
              </w:rPr>
            </w:pPr>
            <w:r>
              <w:rPr>
                <w:rFonts w:ascii="Arial" w:cs="Arial" w:eastAsia="Arial" w:hAnsi="Arial"/>
                <w:sz w:val="15"/>
                <w:szCs w:val="15"/>
                <w:color w:val="auto"/>
              </w:rPr>
              <w:t>2.72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5"/>
                <w:szCs w:val="15"/>
                <w:color w:val="auto"/>
              </w:rPr>
              <w:t>87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5"/>
                <w:szCs w:val="15"/>
                <w:color w:val="auto"/>
              </w:rPr>
              <w:t>10,601</w:t>
            </w:r>
          </w:p>
        </w:tc>
        <w:tc>
          <w:tcPr>
            <w:tcW w:w="80" w:type="dxa"/>
            <w:vAlign w:val="bottom"/>
          </w:tcPr>
          <w:p>
            <w:pPr>
              <w:spacing w:after="0"/>
              <w:rPr>
                <w:sz w:val="17"/>
                <w:szCs w:val="17"/>
                <w:color w:val="auto"/>
              </w:rPr>
            </w:pPr>
          </w:p>
        </w:tc>
        <w:tc>
          <w:tcPr>
            <w:tcW w:w="1080" w:type="dxa"/>
            <w:vAlign w:val="bottom"/>
          </w:tcPr>
          <w:p>
            <w:pPr>
              <w:ind w:left="760"/>
              <w:spacing w:after="0"/>
              <w:rPr>
                <w:sz w:val="20"/>
                <w:szCs w:val="20"/>
                <w:color w:val="auto"/>
              </w:rPr>
            </w:pPr>
            <w:r>
              <w:rPr>
                <w:rFonts w:ascii="Arial" w:cs="Arial" w:eastAsia="Arial" w:hAnsi="Arial"/>
                <w:sz w:val="15"/>
                <w:szCs w:val="15"/>
                <w:color w:val="auto"/>
              </w:rPr>
              <w:t>2.50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5"/>
                <w:szCs w:val="15"/>
                <w:color w:val="auto"/>
                <w:w w:val="95"/>
              </w:rPr>
              <w:t>79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14,819</w:t>
            </w:r>
          </w:p>
        </w:tc>
        <w:tc>
          <w:tcPr>
            <w:tcW w:w="0" w:type="dxa"/>
            <w:vAlign w:val="bottom"/>
          </w:tcPr>
          <w:p>
            <w:pPr>
              <w:spacing w:after="0"/>
              <w:rPr>
                <w:sz w:val="1"/>
                <w:szCs w:val="1"/>
                <w:color w:val="auto"/>
              </w:rPr>
            </w:pPr>
          </w:p>
        </w:tc>
      </w:tr>
      <w:tr>
        <w:trPr>
          <w:trHeight w:val="284"/>
        </w:trPr>
        <w:tc>
          <w:tcPr>
            <w:tcW w:w="3040" w:type="dxa"/>
            <w:vAlign w:val="bottom"/>
          </w:tcPr>
          <w:p>
            <w:pPr>
              <w:ind w:left="160"/>
              <w:spacing w:after="0"/>
              <w:rPr>
                <w:sz w:val="20"/>
                <w:szCs w:val="20"/>
                <w:color w:val="auto"/>
              </w:rPr>
            </w:pPr>
            <w:r>
              <w:rPr>
                <w:rFonts w:ascii="Arial" w:cs="Arial" w:eastAsia="Arial" w:hAnsi="Arial"/>
                <w:sz w:val="13"/>
                <w:szCs w:val="13"/>
                <w:color w:val="auto"/>
              </w:rPr>
              <w:t>Adjustable-rate</w:t>
            </w:r>
          </w:p>
        </w:tc>
        <w:tc>
          <w:tcPr>
            <w:tcW w:w="10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5"/>
                <w:szCs w:val="15"/>
                <w:color w:val="auto"/>
              </w:rPr>
              <w:t>10,062</w:t>
            </w:r>
          </w:p>
        </w:tc>
        <w:tc>
          <w:tcPr>
            <w:tcW w:w="80" w:type="dxa"/>
            <w:vAlign w:val="bottom"/>
          </w:tcPr>
          <w:p>
            <w:pPr>
              <w:spacing w:after="0"/>
              <w:rPr>
                <w:sz w:val="24"/>
                <w:szCs w:val="24"/>
                <w:color w:val="auto"/>
              </w:rPr>
            </w:pPr>
          </w:p>
        </w:tc>
        <w:tc>
          <w:tcPr>
            <w:tcW w:w="1080" w:type="dxa"/>
            <w:vAlign w:val="bottom"/>
          </w:tcPr>
          <w:p>
            <w:pPr>
              <w:ind w:left="760"/>
              <w:spacing w:after="0"/>
              <w:rPr>
                <w:sz w:val="20"/>
                <w:szCs w:val="20"/>
                <w:color w:val="auto"/>
              </w:rPr>
            </w:pPr>
            <w:r>
              <w:rPr>
                <w:rFonts w:ascii="Arial" w:cs="Arial" w:eastAsia="Arial" w:hAnsi="Arial"/>
                <w:sz w:val="15"/>
                <w:szCs w:val="15"/>
                <w:color w:val="auto"/>
              </w:rPr>
              <w:t>1.61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gridSpan w:val="4"/>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14,450</w:t>
            </w:r>
          </w:p>
        </w:tc>
        <w:tc>
          <w:tcPr>
            <w:tcW w:w="0" w:type="dxa"/>
            <w:vAlign w:val="bottom"/>
          </w:tcPr>
          <w:p>
            <w:pPr>
              <w:spacing w:after="0"/>
              <w:rPr>
                <w:sz w:val="1"/>
                <w:szCs w:val="1"/>
                <w:color w:val="auto"/>
              </w:rPr>
            </w:pPr>
          </w:p>
        </w:tc>
      </w:tr>
      <w:tr>
        <w:trPr>
          <w:trHeight w:val="284"/>
        </w:trPr>
        <w:tc>
          <w:tcPr>
            <w:tcW w:w="3040" w:type="dxa"/>
            <w:vAlign w:val="bottom"/>
          </w:tcPr>
          <w:p>
            <w:pPr>
              <w:ind w:left="160"/>
              <w:spacing w:after="0"/>
              <w:rPr>
                <w:sz w:val="20"/>
                <w:szCs w:val="20"/>
                <w:color w:val="auto"/>
              </w:rPr>
            </w:pPr>
            <w:r>
              <w:rPr>
                <w:rFonts w:ascii="Arial" w:cs="Arial" w:eastAsia="Arial" w:hAnsi="Arial"/>
                <w:sz w:val="13"/>
                <w:szCs w:val="13"/>
                <w:color w:val="auto"/>
              </w:rPr>
              <w:t>Other</w:t>
            </w:r>
          </w:p>
        </w:tc>
        <w:tc>
          <w:tcPr>
            <w:tcW w:w="1240" w:type="dxa"/>
            <w:vAlign w:val="bottom"/>
            <w:gridSpan w:val="2"/>
          </w:tcPr>
          <w:p>
            <w:pPr>
              <w:jc w:val="right"/>
              <w:ind w:right="10"/>
              <w:spacing w:after="0"/>
              <w:rPr>
                <w:sz w:val="20"/>
                <w:szCs w:val="20"/>
                <w:color w:val="auto"/>
              </w:rPr>
            </w:pPr>
            <w:r>
              <w:rPr>
                <w:rFonts w:ascii="Arial" w:cs="Arial" w:eastAsia="Arial" w:hAnsi="Arial"/>
                <w:sz w:val="15"/>
                <w:szCs w:val="15"/>
                <w:color w:val="auto"/>
              </w:rPr>
              <w:t>0.52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5"/>
                <w:szCs w:val="15"/>
                <w:color w:val="auto"/>
              </w:rPr>
              <w:t>143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5"/>
                <w:szCs w:val="15"/>
                <w:color w:val="auto"/>
              </w:rPr>
              <w:t>18,995</w:t>
            </w:r>
          </w:p>
        </w:tc>
        <w:tc>
          <w:tcPr>
            <w:tcW w:w="80" w:type="dxa"/>
            <w:vAlign w:val="bottom"/>
          </w:tcPr>
          <w:p>
            <w:pPr>
              <w:spacing w:after="0"/>
              <w:rPr>
                <w:sz w:val="24"/>
                <w:szCs w:val="24"/>
                <w:color w:val="auto"/>
              </w:rPr>
            </w:pPr>
          </w:p>
        </w:tc>
        <w:tc>
          <w:tcPr>
            <w:tcW w:w="1080" w:type="dxa"/>
            <w:vAlign w:val="bottom"/>
          </w:tcPr>
          <w:p>
            <w:pPr>
              <w:ind w:left="760"/>
              <w:spacing w:after="0"/>
              <w:rPr>
                <w:sz w:val="20"/>
                <w:szCs w:val="20"/>
                <w:color w:val="auto"/>
              </w:rPr>
            </w:pPr>
            <w:r>
              <w:rPr>
                <w:rFonts w:ascii="Arial" w:cs="Arial" w:eastAsia="Arial" w:hAnsi="Arial"/>
                <w:sz w:val="15"/>
                <w:szCs w:val="15"/>
                <w:color w:val="auto"/>
              </w:rPr>
              <w:t>1.34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5"/>
                <w:szCs w:val="15"/>
                <w:color w:val="auto"/>
              </w:rPr>
              <w:t>172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21,304</w:t>
            </w:r>
          </w:p>
        </w:tc>
        <w:tc>
          <w:tcPr>
            <w:tcW w:w="0" w:type="dxa"/>
            <w:vAlign w:val="bottom"/>
          </w:tcPr>
          <w:p>
            <w:pPr>
              <w:spacing w:after="0"/>
              <w:rPr>
                <w:sz w:val="1"/>
                <w:szCs w:val="1"/>
                <w:color w:val="auto"/>
              </w:rPr>
            </w:pPr>
          </w:p>
        </w:tc>
      </w:tr>
      <w:tr>
        <w:trPr>
          <w:trHeight w:val="420"/>
        </w:trPr>
        <w:tc>
          <w:tcPr>
            <w:tcW w:w="304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00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760" w:type="dxa"/>
            <w:vAlign w:val="bottom"/>
            <w:tcBorders>
              <w:bottom w:val="single" w:sz="8" w:color="2C6937"/>
            </w:tcBorders>
            <w:gridSpan w:val="8"/>
          </w:tcPr>
          <w:p>
            <w:pPr>
              <w:ind w:left="80"/>
              <w:spacing w:after="0"/>
              <w:rPr>
                <w:sz w:val="20"/>
                <w:szCs w:val="20"/>
                <w:color w:val="auto"/>
              </w:rPr>
            </w:pPr>
            <w:r>
              <w:rPr>
                <w:rFonts w:ascii="Arial" w:cs="Arial" w:eastAsia="Arial" w:hAnsi="Arial"/>
                <w:sz w:val="14"/>
                <w:szCs w:val="14"/>
                <w:b w:val="1"/>
                <w:bCs w:val="1"/>
                <w:color w:val="auto"/>
              </w:rPr>
              <w:t>For the Six Months Ended June 30,</w:t>
            </w:r>
          </w:p>
        </w:tc>
        <w:tc>
          <w:tcPr>
            <w:tcW w:w="88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gridSpan w:val="2"/>
          </w:tcPr>
          <w:p>
            <w:pPr>
              <w:jc w:val="right"/>
              <w:ind w:right="24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2C6937"/>
            </w:tcBorders>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Weighted-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Average Amount</w:t>
            </w:r>
          </w:p>
        </w:tc>
        <w:tc>
          <w:tcPr>
            <w:tcW w:w="134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rPr>
              <w:t>Weighted-</w:t>
            </w:r>
          </w:p>
        </w:tc>
        <w:tc>
          <w:tcPr>
            <w:tcW w:w="88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w w:val="97"/>
              </w:rPr>
              <w:t>Weighted-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8"/>
              </w:rPr>
              <w:t>Average Amount</w:t>
            </w:r>
          </w:p>
        </w:tc>
        <w:tc>
          <w:tcPr>
            <w:tcW w:w="0" w:type="dxa"/>
            <w:vAlign w:val="bottom"/>
          </w:tcPr>
          <w:p>
            <w:pPr>
              <w:spacing w:after="0"/>
              <w:rPr>
                <w:sz w:val="1"/>
                <w:szCs w:val="1"/>
                <w:color w:val="auto"/>
              </w:rPr>
            </w:pPr>
          </w:p>
        </w:tc>
      </w:tr>
      <w:tr>
        <w:trPr>
          <w:trHeight w:val="138"/>
        </w:trPr>
        <w:tc>
          <w:tcPr>
            <w:tcW w:w="3040" w:type="dxa"/>
            <w:vAlign w:val="bottom"/>
          </w:tcPr>
          <w:p>
            <w:pPr>
              <w:spacing w:after="0"/>
              <w:rPr>
                <w:sz w:val="12"/>
                <w:szCs w:val="12"/>
                <w:color w:val="auto"/>
              </w:rPr>
            </w:pPr>
          </w:p>
        </w:tc>
        <w:tc>
          <w:tcPr>
            <w:tcW w:w="13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7"/>
              </w:rPr>
              <w:t>Weighted-Average</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880" w:type="dxa"/>
            <w:vAlign w:val="bottom"/>
          </w:tcPr>
          <w:p>
            <w:pPr>
              <w:jc w:val="center"/>
              <w:ind w:right="68"/>
              <w:spacing w:after="0" w:line="139" w:lineRule="exact"/>
              <w:rPr>
                <w:sz w:val="20"/>
                <w:szCs w:val="20"/>
                <w:color w:val="auto"/>
              </w:rPr>
            </w:pPr>
            <w:r>
              <w:rPr>
                <w:rFonts w:ascii="Arial" w:cs="Arial" w:eastAsia="Arial" w:hAnsi="Arial"/>
                <w:sz w:val="14"/>
                <w:szCs w:val="14"/>
                <w:b w:val="1"/>
                <w:bCs w:val="1"/>
                <w:color w:val="auto"/>
                <w:w w:val="97"/>
              </w:rPr>
              <w:t>Average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11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Average Term</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Capitalized as</w:t>
            </w:r>
          </w:p>
        </w:tc>
        <w:tc>
          <w:tcPr>
            <w:tcW w:w="1340" w:type="dxa"/>
            <w:vAlign w:val="bottom"/>
            <w:gridSpan w:val="4"/>
          </w:tcPr>
          <w:p>
            <w:pPr>
              <w:jc w:val="center"/>
              <w:ind w:right="460"/>
              <w:spacing w:after="0" w:line="142" w:lineRule="exact"/>
              <w:rPr>
                <w:sz w:val="20"/>
                <w:szCs w:val="20"/>
                <w:color w:val="auto"/>
              </w:rPr>
            </w:pPr>
            <w:r>
              <w:rPr>
                <w:rFonts w:ascii="Arial" w:cs="Arial" w:eastAsia="Arial" w:hAnsi="Arial"/>
                <w:sz w:val="14"/>
                <w:szCs w:val="14"/>
                <w:b w:val="1"/>
                <w:bCs w:val="1"/>
                <w:color w:val="auto"/>
                <w:w w:val="94"/>
              </w:rPr>
              <w:t>Average</w:t>
            </w:r>
          </w:p>
        </w:tc>
        <w:tc>
          <w:tcPr>
            <w:tcW w:w="880" w:type="dxa"/>
            <w:vAlign w:val="bottom"/>
          </w:tcPr>
          <w:p>
            <w:pPr>
              <w:jc w:val="center"/>
              <w:ind w:right="88"/>
              <w:spacing w:after="0" w:line="142" w:lineRule="exact"/>
              <w:rPr>
                <w:sz w:val="20"/>
                <w:szCs w:val="20"/>
                <w:color w:val="auto"/>
              </w:rPr>
            </w:pPr>
            <w:r>
              <w:rPr>
                <w:rFonts w:ascii="Arial" w:cs="Arial" w:eastAsia="Arial" w:hAnsi="Arial"/>
                <w:sz w:val="14"/>
                <w:szCs w:val="14"/>
                <w:b w:val="1"/>
                <w:bCs w:val="1"/>
                <w:color w:val="auto"/>
                <w:w w:val="93"/>
              </w:rPr>
              <w:t>Term</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Capitalized as</w:t>
            </w: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9"/>
              </w:rPr>
              <w:t>Interest Rate</w:t>
            </w:r>
          </w:p>
        </w:tc>
        <w:tc>
          <w:tcPr>
            <w:tcW w:w="80" w:type="dxa"/>
            <w:vAlign w:val="bottom"/>
          </w:tcPr>
          <w:p>
            <w:pPr>
              <w:spacing w:after="0"/>
              <w:rPr>
                <w:sz w:val="11"/>
                <w:szCs w:val="11"/>
                <w:color w:val="auto"/>
              </w:rPr>
            </w:pPr>
          </w:p>
        </w:tc>
        <w:tc>
          <w:tcPr>
            <w:tcW w:w="10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Extension (in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 xml:space="preserve">a Result of a </w:t>
            </w:r>
            <w:r>
              <w:rPr>
                <w:rFonts w:ascii="Arial" w:cs="Arial" w:eastAsia="Arial" w:hAnsi="Arial"/>
                <w:sz w:val="15"/>
                <w:szCs w:val="15"/>
                <w:b w:val="1"/>
                <w:bCs w:val="1"/>
                <w:color w:val="auto"/>
                <w:vertAlign w:val="subscript"/>
              </w:rPr>
              <w:t>(1)</w:t>
            </w:r>
          </w:p>
        </w:tc>
        <w:tc>
          <w:tcPr>
            <w:tcW w:w="1340" w:type="dxa"/>
            <w:vAlign w:val="bottom"/>
            <w:gridSpan w:val="4"/>
          </w:tcPr>
          <w:p>
            <w:pPr>
              <w:jc w:val="center"/>
              <w:ind w:right="460"/>
              <w:spacing w:after="0" w:line="133" w:lineRule="exact"/>
              <w:rPr>
                <w:sz w:val="20"/>
                <w:szCs w:val="20"/>
                <w:color w:val="auto"/>
              </w:rPr>
            </w:pPr>
            <w:r>
              <w:rPr>
                <w:rFonts w:ascii="Arial" w:cs="Arial" w:eastAsia="Arial" w:hAnsi="Arial"/>
                <w:sz w:val="14"/>
                <w:szCs w:val="14"/>
                <w:b w:val="1"/>
                <w:bCs w:val="1"/>
                <w:color w:val="auto"/>
                <w:w w:val="99"/>
              </w:rPr>
              <w:t>Interest Rate</w:t>
            </w:r>
          </w:p>
        </w:tc>
        <w:tc>
          <w:tcPr>
            <w:tcW w:w="880" w:type="dxa"/>
            <w:vAlign w:val="bottom"/>
          </w:tcPr>
          <w:p>
            <w:pPr>
              <w:jc w:val="center"/>
              <w:ind w:right="68"/>
              <w:spacing w:after="0" w:line="133" w:lineRule="exact"/>
              <w:rPr>
                <w:sz w:val="20"/>
                <w:szCs w:val="20"/>
                <w:color w:val="auto"/>
              </w:rPr>
            </w:pPr>
            <w:r>
              <w:rPr>
                <w:rFonts w:ascii="Arial" w:cs="Arial" w:eastAsia="Arial" w:hAnsi="Arial"/>
                <w:sz w:val="14"/>
                <w:szCs w:val="14"/>
                <w:b w:val="1"/>
                <w:bCs w:val="1"/>
                <w:color w:val="auto"/>
                <w:w w:val="98"/>
              </w:rPr>
              <w:t>Extension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3"/>
          </w:tcPr>
          <w:p>
            <w:pPr>
              <w:jc w:val="right"/>
              <w:ind w:right="380"/>
              <w:spacing w:after="0" w:line="133" w:lineRule="exact"/>
              <w:rPr>
                <w:sz w:val="20"/>
                <w:szCs w:val="20"/>
                <w:color w:val="auto"/>
              </w:rPr>
            </w:pPr>
            <w:r>
              <w:rPr>
                <w:rFonts w:ascii="Arial" w:cs="Arial" w:eastAsia="Arial" w:hAnsi="Arial"/>
                <w:sz w:val="12"/>
                <w:szCs w:val="12"/>
                <w:b w:val="1"/>
                <w:bCs w:val="1"/>
                <w:color w:val="auto"/>
              </w:rPr>
              <w:t xml:space="preserve">a Result of a </w:t>
            </w:r>
            <w:r>
              <w:rPr>
                <w:rFonts w:ascii="Arial" w:cs="Arial" w:eastAsia="Arial" w:hAnsi="Arial"/>
                <w:sz w:val="15"/>
                <w:szCs w:val="15"/>
                <w:b w:val="1"/>
                <w:bCs w:val="1"/>
                <w:color w:val="auto"/>
                <w:vertAlign w:val="subscript"/>
              </w:rPr>
              <w:t>(1)</w:t>
            </w: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Reduction</w:t>
            </w:r>
          </w:p>
        </w:tc>
        <w:tc>
          <w:tcPr>
            <w:tcW w:w="8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Months)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5"/>
          </w:tcPr>
          <w:p>
            <w:pPr>
              <w:ind w:left="20"/>
              <w:spacing w:after="0"/>
              <w:rPr>
                <w:sz w:val="20"/>
                <w:szCs w:val="20"/>
                <w:color w:val="auto"/>
              </w:rPr>
            </w:pPr>
            <w:r>
              <w:rPr>
                <w:rFonts w:ascii="Arial" w:cs="Arial" w:eastAsia="Arial" w:hAnsi="Arial"/>
                <w:sz w:val="14"/>
                <w:szCs w:val="14"/>
                <w:b w:val="1"/>
                <w:bCs w:val="1"/>
                <w:color w:val="auto"/>
              </w:rPr>
              <w:t>Payment Delay</w:t>
            </w:r>
          </w:p>
        </w:tc>
        <w:tc>
          <w:tcPr>
            <w:tcW w:w="13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9"/>
              </w:rPr>
              <w:t>Reduction</w:t>
            </w: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(in Months)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8"/>
              </w:rPr>
              <w:t>Payment Delay</w:t>
            </w:r>
          </w:p>
        </w:tc>
        <w:tc>
          <w:tcPr>
            <w:tcW w:w="0" w:type="dxa"/>
            <w:vAlign w:val="bottom"/>
          </w:tcPr>
          <w:p>
            <w:pPr>
              <w:spacing w:after="0"/>
              <w:rPr>
                <w:sz w:val="1"/>
                <w:szCs w:val="1"/>
                <w:color w:val="auto"/>
              </w:rPr>
            </w:pPr>
          </w:p>
        </w:tc>
      </w:tr>
      <w:tr>
        <w:trPr>
          <w:trHeight w:val="264"/>
        </w:trPr>
        <w:tc>
          <w:tcPr>
            <w:tcW w:w="3040" w:type="dxa"/>
            <w:vAlign w:val="bottom"/>
          </w:tcPr>
          <w:p>
            <w:pPr>
              <w:spacing w:after="0"/>
              <w:rPr>
                <w:sz w:val="20"/>
                <w:szCs w:val="20"/>
                <w:color w:val="auto"/>
              </w:rPr>
            </w:pPr>
            <w:r>
              <w:rPr>
                <w:rFonts w:ascii="Arial" w:cs="Arial" w:eastAsia="Arial" w:hAnsi="Arial"/>
                <w:sz w:val="13"/>
                <w:szCs w:val="13"/>
                <w:color w:val="auto"/>
              </w:rPr>
              <w:t>Loan by class of financing receivable:</w:t>
            </w:r>
            <w:r>
              <w:rPr>
                <w:rFonts w:ascii="Arial" w:cs="Arial" w:eastAsia="Arial" w:hAnsi="Arial"/>
                <w:sz w:val="16"/>
                <w:szCs w:val="16"/>
                <w:color w:val="auto"/>
                <w:vertAlign w:val="superscript"/>
              </w:rPr>
              <w:t>(2)</w:t>
            </w:r>
          </w:p>
        </w:tc>
        <w:tc>
          <w:tcPr>
            <w:tcW w:w="100" w:type="dxa"/>
            <w:vAlign w:val="bottom"/>
            <w:tcBorders>
              <w:top w:val="single" w:sz="8" w:color="2C6937"/>
            </w:tcBorders>
          </w:tcPr>
          <w:p>
            <w:pPr>
              <w:spacing w:after="0"/>
              <w:rPr>
                <w:sz w:val="22"/>
                <w:szCs w:val="22"/>
                <w:color w:val="auto"/>
              </w:rPr>
            </w:pPr>
          </w:p>
        </w:tc>
        <w:tc>
          <w:tcPr>
            <w:tcW w:w="1140" w:type="dxa"/>
            <w:vAlign w:val="bottom"/>
            <w:tcBorders>
              <w:top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2C6937"/>
            </w:tcBorders>
          </w:tcPr>
          <w:p>
            <w:pPr>
              <w:spacing w:after="0"/>
              <w:rPr>
                <w:sz w:val="22"/>
                <w:szCs w:val="22"/>
                <w:color w:val="auto"/>
              </w:rPr>
            </w:pPr>
          </w:p>
        </w:tc>
        <w:tc>
          <w:tcPr>
            <w:tcW w:w="80" w:type="dxa"/>
            <w:vAlign w:val="bottom"/>
            <w:tcBorders>
              <w:top w:val="single" w:sz="8" w:color="2C6937"/>
            </w:tcBorders>
          </w:tcPr>
          <w:p>
            <w:pPr>
              <w:spacing w:after="0"/>
              <w:rPr>
                <w:sz w:val="22"/>
                <w:szCs w:val="22"/>
                <w:color w:val="auto"/>
              </w:rPr>
            </w:pPr>
          </w:p>
        </w:tc>
        <w:tc>
          <w:tcPr>
            <w:tcW w:w="1000" w:type="dxa"/>
            <w:vAlign w:val="bottom"/>
            <w:tcBorders>
              <w:top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2C6937"/>
            </w:tcBorders>
          </w:tcPr>
          <w:p>
            <w:pPr>
              <w:spacing w:after="0"/>
              <w:rPr>
                <w:sz w:val="22"/>
                <w:szCs w:val="22"/>
                <w:color w:val="auto"/>
              </w:rPr>
            </w:pPr>
          </w:p>
        </w:tc>
        <w:tc>
          <w:tcPr>
            <w:tcW w:w="100" w:type="dxa"/>
            <w:vAlign w:val="bottom"/>
            <w:tcBorders>
              <w:top w:val="single" w:sz="8" w:color="2C6937"/>
            </w:tcBorders>
          </w:tcPr>
          <w:p>
            <w:pPr>
              <w:spacing w:after="0"/>
              <w:rPr>
                <w:sz w:val="22"/>
                <w:szCs w:val="22"/>
                <w:color w:val="auto"/>
              </w:rPr>
            </w:pPr>
          </w:p>
        </w:tc>
        <w:tc>
          <w:tcPr>
            <w:tcW w:w="100" w:type="dxa"/>
            <w:vAlign w:val="bottom"/>
            <w:tcBorders>
              <w:top w:val="single" w:sz="8" w:color="2C6937"/>
            </w:tcBorders>
          </w:tcPr>
          <w:p>
            <w:pPr>
              <w:spacing w:after="0"/>
              <w:rPr>
                <w:sz w:val="22"/>
                <w:szCs w:val="22"/>
                <w:color w:val="auto"/>
              </w:rPr>
            </w:pPr>
          </w:p>
        </w:tc>
        <w:tc>
          <w:tcPr>
            <w:tcW w:w="1180" w:type="dxa"/>
            <w:vAlign w:val="bottom"/>
            <w:tcBorders>
              <w:top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2C6937"/>
            </w:tcBorders>
          </w:tcPr>
          <w:p>
            <w:pPr>
              <w:spacing w:after="0"/>
              <w:rPr>
                <w:sz w:val="22"/>
                <w:szCs w:val="22"/>
                <w:color w:val="auto"/>
              </w:rPr>
            </w:pPr>
          </w:p>
        </w:tc>
        <w:tc>
          <w:tcPr>
            <w:tcW w:w="80" w:type="dxa"/>
            <w:vAlign w:val="bottom"/>
            <w:tcBorders>
              <w:top w:val="single" w:sz="8" w:color="2C6937"/>
            </w:tcBorders>
          </w:tcPr>
          <w:p>
            <w:pPr>
              <w:spacing w:after="0"/>
              <w:rPr>
                <w:sz w:val="22"/>
                <w:szCs w:val="22"/>
                <w:color w:val="auto"/>
              </w:rPr>
            </w:pPr>
          </w:p>
        </w:tc>
        <w:tc>
          <w:tcPr>
            <w:tcW w:w="1080" w:type="dxa"/>
            <w:vAlign w:val="bottom"/>
            <w:tcBorders>
              <w:top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2C6937"/>
            </w:tcBorders>
          </w:tcPr>
          <w:p>
            <w:pPr>
              <w:spacing w:after="0"/>
              <w:rPr>
                <w:sz w:val="22"/>
                <w:szCs w:val="22"/>
                <w:color w:val="auto"/>
              </w:rPr>
            </w:pPr>
          </w:p>
        </w:tc>
        <w:tc>
          <w:tcPr>
            <w:tcW w:w="80" w:type="dxa"/>
            <w:vAlign w:val="bottom"/>
            <w:tcBorders>
              <w:top w:val="single" w:sz="8" w:color="2C6937"/>
            </w:tcBorders>
          </w:tcPr>
          <w:p>
            <w:pPr>
              <w:spacing w:after="0"/>
              <w:rPr>
                <w:sz w:val="22"/>
                <w:szCs w:val="22"/>
                <w:color w:val="auto"/>
              </w:rPr>
            </w:pPr>
          </w:p>
        </w:tc>
        <w:tc>
          <w:tcPr>
            <w:tcW w:w="880" w:type="dxa"/>
            <w:vAlign w:val="bottom"/>
            <w:tcBorders>
              <w:top w:val="single" w:sz="8" w:color="2C6937"/>
            </w:tcBorders>
          </w:tcPr>
          <w:p>
            <w:pPr>
              <w:spacing w:after="0"/>
              <w:rPr>
                <w:sz w:val="22"/>
                <w:szCs w:val="22"/>
                <w:color w:val="auto"/>
              </w:rPr>
            </w:pPr>
          </w:p>
        </w:tc>
        <w:tc>
          <w:tcPr>
            <w:tcW w:w="60" w:type="dxa"/>
            <w:vAlign w:val="bottom"/>
            <w:tcBorders>
              <w:top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2C6937"/>
            </w:tcBorders>
          </w:tcPr>
          <w:p>
            <w:pPr>
              <w:spacing w:after="0"/>
              <w:rPr>
                <w:sz w:val="22"/>
                <w:szCs w:val="22"/>
                <w:color w:val="auto"/>
              </w:rPr>
            </w:pPr>
          </w:p>
        </w:tc>
        <w:tc>
          <w:tcPr>
            <w:tcW w:w="20" w:type="dxa"/>
            <w:vAlign w:val="bottom"/>
            <w:tcBorders>
              <w:top w:val="single" w:sz="8" w:color="2C6937"/>
            </w:tcBorders>
          </w:tcPr>
          <w:p>
            <w:pPr>
              <w:spacing w:after="0"/>
              <w:rPr>
                <w:sz w:val="22"/>
                <w:szCs w:val="22"/>
                <w:color w:val="auto"/>
              </w:rPr>
            </w:pPr>
          </w:p>
        </w:tc>
        <w:tc>
          <w:tcPr>
            <w:tcW w:w="60" w:type="dxa"/>
            <w:vAlign w:val="bottom"/>
            <w:tcBorders>
              <w:top w:val="single" w:sz="8" w:color="2C6937"/>
            </w:tcBorders>
          </w:tcPr>
          <w:p>
            <w:pPr>
              <w:spacing w:after="0"/>
              <w:rPr>
                <w:sz w:val="22"/>
                <w:szCs w:val="22"/>
                <w:color w:val="auto"/>
              </w:rPr>
            </w:pPr>
          </w:p>
        </w:tc>
        <w:tc>
          <w:tcPr>
            <w:tcW w:w="140" w:type="dxa"/>
            <w:vAlign w:val="bottom"/>
            <w:tcBorders>
              <w:top w:val="single" w:sz="8" w:color="2C6937"/>
            </w:tcBorders>
          </w:tcPr>
          <w:p>
            <w:pPr>
              <w:spacing w:after="0"/>
              <w:rPr>
                <w:sz w:val="22"/>
                <w:szCs w:val="22"/>
                <w:color w:val="auto"/>
              </w:rPr>
            </w:pPr>
          </w:p>
        </w:tc>
        <w:tc>
          <w:tcPr>
            <w:tcW w:w="1080" w:type="dxa"/>
            <w:vAlign w:val="bottom"/>
            <w:tcBorders>
              <w:top w:val="single" w:sz="8" w:color="2C6937"/>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040" w:type="dxa"/>
            <w:vAlign w:val="bottom"/>
          </w:tcPr>
          <w:p>
            <w:pPr>
              <w:ind w:left="160"/>
              <w:spacing w:after="0"/>
              <w:rPr>
                <w:sz w:val="20"/>
                <w:szCs w:val="20"/>
                <w:color w:val="auto"/>
              </w:rPr>
            </w:pPr>
            <w:r>
              <w:rPr>
                <w:rFonts w:ascii="Arial" w:cs="Arial" w:eastAsia="Arial" w:hAnsi="Arial"/>
                <w:sz w:val="13"/>
                <w:szCs w:val="13"/>
                <w:color w:val="auto"/>
              </w:rPr>
              <w:t>20- and 30-year or more, amortizing fixed-rate</w:t>
            </w:r>
          </w:p>
        </w:tc>
        <w:tc>
          <w:tcPr>
            <w:tcW w:w="1240" w:type="dxa"/>
            <w:vAlign w:val="bottom"/>
            <w:gridSpan w:val="2"/>
          </w:tcPr>
          <w:p>
            <w:pPr>
              <w:ind w:left="740"/>
              <w:spacing w:after="0"/>
              <w:rPr>
                <w:sz w:val="20"/>
                <w:szCs w:val="20"/>
                <w:color w:val="auto"/>
              </w:rPr>
            </w:pPr>
            <w:r>
              <w:rPr>
                <w:rFonts w:ascii="Arial" w:cs="Arial" w:eastAsia="Arial" w:hAnsi="Arial"/>
                <w:sz w:val="15"/>
                <w:szCs w:val="15"/>
                <w:color w:val="auto"/>
              </w:rPr>
              <w:t>0.87 %</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9"/>
              <w:spacing w:after="0"/>
              <w:rPr>
                <w:sz w:val="20"/>
                <w:szCs w:val="20"/>
                <w:color w:val="auto"/>
              </w:rPr>
            </w:pPr>
            <w:r>
              <w:rPr>
                <w:rFonts w:ascii="Arial" w:cs="Arial" w:eastAsia="Arial" w:hAnsi="Arial"/>
                <w:sz w:val="15"/>
                <w:szCs w:val="15"/>
                <w:color w:val="auto"/>
              </w:rPr>
              <w:t>161</w:t>
            </w:r>
          </w:p>
        </w:tc>
        <w:tc>
          <w:tcPr>
            <w:tcW w:w="8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5"/>
                <w:szCs w:val="15"/>
                <w:color w:val="auto"/>
                <w:w w:val="95"/>
              </w:rPr>
              <w:t>$</w:t>
            </w:r>
          </w:p>
        </w:tc>
        <w:tc>
          <w:tcPr>
            <w:tcW w:w="10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13,675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ind w:left="580"/>
              <w:spacing w:after="0"/>
              <w:rPr>
                <w:sz w:val="20"/>
                <w:szCs w:val="20"/>
                <w:color w:val="auto"/>
              </w:rPr>
            </w:pPr>
            <w:r>
              <w:rPr>
                <w:rFonts w:ascii="Arial" w:cs="Arial" w:eastAsia="Arial" w:hAnsi="Arial"/>
                <w:sz w:val="15"/>
                <w:szCs w:val="15"/>
                <w:color w:val="auto"/>
              </w:rPr>
              <w:t>1.09 %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173</w:t>
            </w:r>
          </w:p>
        </w:tc>
        <w:tc>
          <w:tcPr>
            <w:tcW w:w="280" w:type="dxa"/>
            <w:vAlign w:val="bottom"/>
            <w:gridSpan w:val="4"/>
          </w:tcPr>
          <w:p>
            <w:pPr>
              <w:jc w:val="right"/>
              <w:ind w:right="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16,864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160"/>
              <w:spacing w:after="0"/>
              <w:rPr>
                <w:sz w:val="20"/>
                <w:szCs w:val="20"/>
                <w:color w:val="auto"/>
              </w:rPr>
            </w:pPr>
            <w:r>
              <w:rPr>
                <w:rFonts w:ascii="Arial" w:cs="Arial" w:eastAsia="Arial" w:hAnsi="Arial"/>
                <w:sz w:val="13"/>
                <w:szCs w:val="13"/>
                <w:color w:val="auto"/>
              </w:rPr>
              <w:t>15-year or less, amortizing fixed-rate</w:t>
            </w:r>
          </w:p>
        </w:tc>
        <w:tc>
          <w:tcPr>
            <w:tcW w:w="1240" w:type="dxa"/>
            <w:vAlign w:val="bottom"/>
            <w:gridSpan w:val="2"/>
          </w:tcPr>
          <w:p>
            <w:pPr>
              <w:ind w:left="740"/>
              <w:spacing w:after="0"/>
              <w:rPr>
                <w:sz w:val="20"/>
                <w:szCs w:val="20"/>
                <w:color w:val="auto"/>
              </w:rPr>
            </w:pPr>
            <w:r>
              <w:rPr>
                <w:rFonts w:ascii="Arial" w:cs="Arial" w:eastAsia="Arial" w:hAnsi="Arial"/>
                <w:sz w:val="15"/>
                <w:szCs w:val="15"/>
                <w:color w:val="auto"/>
              </w:rPr>
              <w:t>2.00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9"/>
              <w:spacing w:after="0"/>
              <w:rPr>
                <w:sz w:val="20"/>
                <w:szCs w:val="20"/>
                <w:color w:val="auto"/>
              </w:rPr>
            </w:pPr>
            <w:r>
              <w:rPr>
                <w:rFonts w:ascii="Arial" w:cs="Arial" w:eastAsia="Arial" w:hAnsi="Arial"/>
                <w:sz w:val="15"/>
                <w:szCs w:val="15"/>
                <w:color w:val="auto"/>
              </w:rPr>
              <w:t>85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12,450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ind w:left="580"/>
              <w:spacing w:after="0"/>
              <w:rPr>
                <w:sz w:val="20"/>
                <w:szCs w:val="20"/>
                <w:color w:val="auto"/>
              </w:rPr>
            </w:pPr>
            <w:r>
              <w:rPr>
                <w:rFonts w:ascii="Arial" w:cs="Arial" w:eastAsia="Arial" w:hAnsi="Arial"/>
                <w:sz w:val="15"/>
                <w:szCs w:val="15"/>
                <w:color w:val="auto"/>
              </w:rPr>
              <w:t>1.83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14,636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040" w:type="dxa"/>
            <w:vAlign w:val="bottom"/>
          </w:tcPr>
          <w:p>
            <w:pPr>
              <w:ind w:left="160"/>
              <w:spacing w:after="0"/>
              <w:rPr>
                <w:sz w:val="20"/>
                <w:szCs w:val="20"/>
                <w:color w:val="auto"/>
              </w:rPr>
            </w:pPr>
            <w:r>
              <w:rPr>
                <w:rFonts w:ascii="Arial" w:cs="Arial" w:eastAsia="Arial" w:hAnsi="Arial"/>
                <w:sz w:val="13"/>
                <w:szCs w:val="13"/>
                <w:color w:val="auto"/>
              </w:rPr>
              <w:t>Adjustable-rate</w:t>
            </w:r>
          </w:p>
        </w:tc>
        <w:tc>
          <w:tcPr>
            <w:tcW w:w="1240" w:type="dxa"/>
            <w:vAlign w:val="bottom"/>
            <w:gridSpan w:val="2"/>
          </w:tcPr>
          <w:p>
            <w:pPr>
              <w:ind w:left="740"/>
              <w:spacing w:after="0"/>
              <w:rPr>
                <w:sz w:val="20"/>
                <w:szCs w:val="20"/>
                <w:color w:val="auto"/>
              </w:rPr>
            </w:pPr>
            <w:r>
              <w:rPr>
                <w:rFonts w:ascii="Arial" w:cs="Arial" w:eastAsia="Arial" w:hAnsi="Arial"/>
                <w:sz w:val="15"/>
                <w:szCs w:val="15"/>
                <w:color w:val="auto"/>
              </w:rPr>
              <w:t>2.00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11,822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ind w:left="580"/>
              <w:spacing w:after="0"/>
              <w:rPr>
                <w:sz w:val="20"/>
                <w:szCs w:val="20"/>
                <w:color w:val="auto"/>
              </w:rPr>
            </w:pPr>
            <w:r>
              <w:rPr>
                <w:rFonts w:ascii="Arial" w:cs="Arial" w:eastAsia="Arial" w:hAnsi="Arial"/>
                <w:sz w:val="15"/>
                <w:szCs w:val="15"/>
                <w:color w:val="auto"/>
              </w:rPr>
              <w:t>1.76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15,228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040" w:type="dxa"/>
            <w:vAlign w:val="bottom"/>
          </w:tcPr>
          <w:p>
            <w:pPr>
              <w:ind w:left="160"/>
              <w:spacing w:after="0"/>
              <w:rPr>
                <w:sz w:val="20"/>
                <w:szCs w:val="20"/>
                <w:color w:val="auto"/>
              </w:rPr>
            </w:pPr>
            <w:r>
              <w:rPr>
                <w:rFonts w:ascii="Arial" w:cs="Arial" w:eastAsia="Arial" w:hAnsi="Arial"/>
                <w:sz w:val="13"/>
                <w:szCs w:val="13"/>
                <w:color w:val="auto"/>
              </w:rPr>
              <w:t>Other</w:t>
            </w:r>
          </w:p>
        </w:tc>
        <w:tc>
          <w:tcPr>
            <w:tcW w:w="1240" w:type="dxa"/>
            <w:vAlign w:val="bottom"/>
            <w:gridSpan w:val="2"/>
          </w:tcPr>
          <w:p>
            <w:pPr>
              <w:ind w:left="740"/>
              <w:spacing w:after="0"/>
              <w:rPr>
                <w:sz w:val="20"/>
                <w:szCs w:val="20"/>
                <w:color w:val="auto"/>
              </w:rPr>
            </w:pPr>
            <w:r>
              <w:rPr>
                <w:rFonts w:ascii="Arial" w:cs="Arial" w:eastAsia="Arial" w:hAnsi="Arial"/>
                <w:sz w:val="15"/>
                <w:szCs w:val="15"/>
                <w:color w:val="auto"/>
              </w:rPr>
              <w:t>0.82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jc w:val="right"/>
              <w:ind w:right="9"/>
              <w:spacing w:after="0"/>
              <w:rPr>
                <w:sz w:val="20"/>
                <w:szCs w:val="20"/>
                <w:color w:val="auto"/>
              </w:rPr>
            </w:pPr>
            <w:r>
              <w:rPr>
                <w:rFonts w:ascii="Arial" w:cs="Arial" w:eastAsia="Arial" w:hAnsi="Arial"/>
                <w:sz w:val="15"/>
                <w:szCs w:val="15"/>
                <w:color w:val="auto"/>
              </w:rPr>
              <w:t>157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17,970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ind w:left="580"/>
              <w:spacing w:after="0"/>
              <w:rPr>
                <w:sz w:val="20"/>
                <w:szCs w:val="20"/>
                <w:color w:val="auto"/>
              </w:rPr>
            </w:pPr>
            <w:r>
              <w:rPr>
                <w:rFonts w:ascii="Arial" w:cs="Arial" w:eastAsia="Arial" w:hAnsi="Arial"/>
                <w:sz w:val="15"/>
                <w:szCs w:val="15"/>
                <w:color w:val="auto"/>
              </w:rPr>
              <w:t>1.48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20,715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20" w:hanging="217"/>
        <w:spacing w:after="0"/>
        <w:tabs>
          <w:tab w:leader="none" w:pos="22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Represents the average amount of delinquency-related amounts that were capitalized as part of the loan balance. Amounts are in whole dollars.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Excludes the financial effects of modifications for loans that were paid off or otherwise liquidated as of period-end.</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following tables display the amortized cost of HFI loans that defaulted during the period and had received a completed modification or payment deferral in the twelve months prior to the payment default. For purposes of this disclosure, we define loans that had a payment default as single-family loans with completed modifications that are two or more months delinquent during the period; or multifamily loans with completed modifications that are one or more months delinquent during the period. For loans that receive a forbearance plan, repayment plan or trial modification, these loss mitigation options generally remain in default until the loan is no longer delinquent as a result of the payment of all past-due amounts or as a result of a loan modification or payment deferral. Therefore, forbearance plans, repayment plans and trial modifications are not included in default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358775</wp:posOffset>
            </wp:positionV>
            <wp:extent cx="680593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2" w:name="page83"/>
    <w:bookmarkEnd w:id="82"/>
    <w:p>
      <w:pPr>
        <w:ind w:left="660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24130</wp:posOffset>
            </wp:positionV>
            <wp:extent cx="70154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ectPr>
          <w:pgSz w:w="11900" w:h="16838" w:orient="portrait"/>
          <w:cols w:equalWidth="0" w:num="1">
            <w:col w:w="11180"/>
          </w:cols>
          <w:pgMar w:left="340" w:top="2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Single-family:</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20- and 30-year or more, amortizing fixed-rate</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15-year or less, amortizing fixed-rate</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Adjustable-rate</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20955</wp:posOffset>
            </wp:positionV>
            <wp:extent cx="289814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Total single-family</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289814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wp:posOffset>
            </wp:positionV>
            <wp:extent cx="289814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89814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17145</wp:posOffset>
            </wp:positionV>
            <wp:extent cx="289814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Single-family:</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20- and 30-year or more, amortizing fixed-rate</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15-year or less, amortizing fixed-rate</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Adjustable-rate</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20955</wp:posOffset>
            </wp:positionV>
            <wp:extent cx="289814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Total single-family</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289814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0</wp:posOffset>
            </wp:positionV>
            <wp:extent cx="289814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89814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24765</wp:posOffset>
            </wp:positionV>
            <wp:extent cx="289814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Single-family:</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20- and 30-year or more, amortizing fixed-rate</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15-year or less, amortizing fixed-rate</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Adjustable-rate</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289814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Total single-family</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289814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wp:posOffset>
            </wp:positionV>
            <wp:extent cx="289814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89814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17145</wp:posOffset>
            </wp:positionV>
            <wp:extent cx="289814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For the Three Months Ended June 30,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0" w:type="dxa"/>
            <w:vAlign w:val="bottom"/>
            <w:tcBorders>
              <w:top w:val="single" w:sz="8" w:color="2C6937"/>
            </w:tcBorders>
          </w:tcPr>
          <w:p>
            <w:pPr>
              <w:spacing w:after="0"/>
              <w:rPr>
                <w:sz w:val="13"/>
                <w:szCs w:val="13"/>
                <w:color w:val="auto"/>
              </w:rPr>
            </w:pPr>
          </w:p>
        </w:tc>
        <w:tc>
          <w:tcPr>
            <w:tcW w:w="1520" w:type="dxa"/>
            <w:vAlign w:val="bottom"/>
            <w:tcBorders>
              <w:top w:val="single" w:sz="8" w:color="2C6937"/>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Borders>
              <w:top w:val="single" w:sz="8" w:color="2C6937"/>
            </w:tcBorders>
          </w:tcPr>
          <w:p>
            <w:pPr>
              <w:spacing w:after="0"/>
              <w:rPr>
                <w:sz w:val="13"/>
                <w:szCs w:val="13"/>
                <w:color w:val="auto"/>
              </w:rPr>
            </w:pPr>
          </w:p>
        </w:tc>
        <w:tc>
          <w:tcPr>
            <w:tcW w:w="1420" w:type="dxa"/>
            <w:vAlign w:val="bottom"/>
            <w:tcBorders>
              <w:top w:val="single" w:sz="8" w:color="2C6937"/>
            </w:tcBorders>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580" w:type="dxa"/>
            <w:vAlign w:val="bottom"/>
            <w:tcBorders>
              <w:top w:val="single" w:sz="8" w:color="2C6937"/>
            </w:tcBorders>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Borders>
              <w:top w:val="single" w:sz="8" w:color="2C6937"/>
            </w:tcBorders>
          </w:tcPr>
          <w:p>
            <w:pPr>
              <w:spacing w:after="0"/>
              <w:rPr>
                <w:sz w:val="13"/>
                <w:szCs w:val="13"/>
                <w:color w:val="auto"/>
              </w:rPr>
            </w:pPr>
          </w:p>
        </w:tc>
        <w:tc>
          <w:tcPr>
            <w:tcW w:w="1200" w:type="dxa"/>
            <w:vAlign w:val="bottom"/>
            <w:tcBorders>
              <w:top w:val="single" w:sz="8" w:color="2C6937"/>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 and</w:t>
            </w:r>
          </w:p>
        </w:tc>
        <w:tc>
          <w:tcPr>
            <w:tcW w:w="100" w:type="dxa"/>
            <w:vAlign w:val="bottom"/>
          </w:tcPr>
          <w:p>
            <w:pPr>
              <w:spacing w:after="0"/>
              <w:rPr>
                <w:sz w:val="12"/>
                <w:szCs w:val="12"/>
                <w:color w:val="auto"/>
              </w:rPr>
            </w:pPr>
          </w:p>
        </w:tc>
        <w:tc>
          <w:tcPr>
            <w:tcW w:w="158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8"/>
              </w:rPr>
              <w:t>Extension, Interest</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5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7"/>
              </w:rPr>
              <w:t>Rate Reduction and</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2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8"/>
              </w:rPr>
              <w:t>Deferral (Only)</w:t>
            </w:r>
          </w:p>
        </w:tc>
        <w:tc>
          <w:tcPr>
            <w:tcW w:w="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420" w:type="dxa"/>
            <w:vAlign w:val="bottom"/>
            <w:tcBorders>
              <w:bottom w:val="single" w:sz="8" w:color="2C6937"/>
            </w:tcBorders>
          </w:tcPr>
          <w:p>
            <w:pPr>
              <w:jc w:val="center"/>
              <w:ind w:right="46"/>
              <w:spacing w:after="0"/>
              <w:rPr>
                <w:sz w:val="20"/>
                <w:szCs w:val="20"/>
                <w:color w:val="auto"/>
              </w:rPr>
            </w:pPr>
            <w:r>
              <w:rPr>
                <w:rFonts w:ascii="Arial" w:cs="Arial" w:eastAsia="Arial" w:hAnsi="Arial"/>
                <w:sz w:val="14"/>
                <w:szCs w:val="14"/>
                <w:b w:val="1"/>
                <w:bCs w:val="1"/>
                <w:color w:val="auto"/>
                <w:w w:val="97"/>
              </w:rPr>
              <w:t>Term Extension</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tcPr>
          <w:p>
            <w:pPr>
              <w:jc w:val="center"/>
              <w:ind w:right="25"/>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5"/>
          </w:tcPr>
          <w:p>
            <w:pPr>
              <w:ind w:left="80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7"/>
        </w:trPr>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1,178</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625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24"/>
                <w:szCs w:val="24"/>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1,812</w:t>
            </w: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3"/>
        </w:trPr>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5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1,228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633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1,876</w:t>
            </w: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19"/>
        </w:trPr>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1,228</w:t>
            </w:r>
          </w:p>
        </w:tc>
        <w:tc>
          <w:tcPr>
            <w:tcW w:w="80" w:type="dxa"/>
            <w:vAlign w:val="bottom"/>
          </w:tcPr>
          <w:p>
            <w:pPr>
              <w:spacing w:after="0"/>
              <w:rPr>
                <w:sz w:val="19"/>
                <w:szCs w:val="19"/>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4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633</w:t>
            </w:r>
          </w:p>
        </w:tc>
        <w:tc>
          <w:tcPr>
            <w:tcW w:w="100" w:type="dxa"/>
            <w:vAlign w:val="bottom"/>
          </w:tcPr>
          <w:p>
            <w:pPr>
              <w:spacing w:after="0"/>
              <w:rPr>
                <w:sz w:val="19"/>
                <w:szCs w:val="19"/>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9"/>
                <w:szCs w:val="19"/>
                <w:color w:val="auto"/>
              </w:rPr>
            </w:pPr>
          </w:p>
        </w:tc>
        <w:tc>
          <w:tcPr>
            <w:tcW w:w="360" w:type="dxa"/>
            <w:vAlign w:val="bottom"/>
            <w:tcBorders>
              <w:top w:val="single" w:sz="8" w:color="2C6937"/>
              <w:bottom w:val="single" w:sz="8" w:color="2C6937"/>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1,889</w:t>
            </w:r>
          </w:p>
        </w:tc>
        <w:tc>
          <w:tcPr>
            <w:tcW w:w="0" w:type="dxa"/>
            <w:vAlign w:val="bottom"/>
          </w:tcPr>
          <w:p>
            <w:pPr>
              <w:spacing w:after="0"/>
              <w:rPr>
                <w:sz w:val="1"/>
                <w:szCs w:val="1"/>
                <w:color w:val="auto"/>
              </w:rPr>
            </w:pPr>
          </w:p>
        </w:tc>
      </w:tr>
      <w:tr>
        <w:trPr>
          <w:trHeight w:val="26"/>
        </w:trPr>
        <w:tc>
          <w:tcPr>
            <w:tcW w:w="120" w:type="dxa"/>
            <w:vAlign w:val="bottom"/>
            <w:tcBorders>
              <w:bottom w:val="single" w:sz="8" w:color="2C6937"/>
            </w:tcBorders>
          </w:tcPr>
          <w:p>
            <w:pPr>
              <w:spacing w:after="0"/>
              <w:rPr>
                <w:sz w:val="2"/>
                <w:szCs w:val="2"/>
                <w:color w:val="auto"/>
              </w:rPr>
            </w:pPr>
          </w:p>
        </w:tc>
        <w:tc>
          <w:tcPr>
            <w:tcW w:w="14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1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2C6937"/>
            </w:tcBorders>
            <w:gridSpan w:val="2"/>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2C6937"/>
            </w:tcBorders>
          </w:tcPr>
          <w:p>
            <w:pPr>
              <w:spacing w:after="0"/>
              <w:rPr>
                <w:sz w:val="2"/>
                <w:szCs w:val="2"/>
                <w:color w:val="auto"/>
              </w:rPr>
            </w:pPr>
          </w:p>
        </w:tc>
        <w:tc>
          <w:tcPr>
            <w:tcW w:w="12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12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3200" w:type="dxa"/>
            <w:vAlign w:val="bottom"/>
            <w:tcBorders>
              <w:bottom w:val="single" w:sz="8" w:color="2C6937"/>
            </w:tcBorders>
            <w:gridSpan w:val="5"/>
          </w:tcPr>
          <w:p>
            <w:pPr>
              <w:jc w:val="center"/>
              <w:ind w:right="220"/>
              <w:spacing w:after="0"/>
              <w:rPr>
                <w:sz w:val="20"/>
                <w:szCs w:val="20"/>
                <w:color w:val="auto"/>
              </w:rPr>
            </w:pPr>
            <w:r>
              <w:rPr>
                <w:rFonts w:ascii="Arial" w:cs="Arial" w:eastAsia="Arial" w:hAnsi="Arial"/>
                <w:sz w:val="14"/>
                <w:szCs w:val="14"/>
                <w:b w:val="1"/>
                <w:bCs w:val="1"/>
                <w:color w:val="auto"/>
                <w:w w:val="97"/>
              </w:rPr>
              <w:t>For the Six Months Ended June 30, 2024</w:t>
            </w:r>
          </w:p>
        </w:tc>
        <w:tc>
          <w:tcPr>
            <w:tcW w:w="360" w:type="dxa"/>
            <w:vAlign w:val="bottom"/>
            <w:tcBorders>
              <w:bottom w:val="single" w:sz="8" w:color="2C6937"/>
            </w:tcBorders>
          </w:tcPr>
          <w:p>
            <w:pPr>
              <w:spacing w:after="0"/>
              <w:rPr>
                <w:sz w:val="24"/>
                <w:szCs w:val="24"/>
                <w:color w:val="auto"/>
              </w:rPr>
            </w:pPr>
          </w:p>
        </w:tc>
        <w:tc>
          <w:tcPr>
            <w:tcW w:w="12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5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 and</w:t>
            </w:r>
          </w:p>
        </w:tc>
        <w:tc>
          <w:tcPr>
            <w:tcW w:w="100" w:type="dxa"/>
            <w:vAlign w:val="bottom"/>
          </w:tcPr>
          <w:p>
            <w:pPr>
              <w:spacing w:after="0"/>
              <w:rPr>
                <w:sz w:val="12"/>
                <w:szCs w:val="12"/>
                <w:color w:val="auto"/>
              </w:rPr>
            </w:pPr>
          </w:p>
        </w:tc>
        <w:tc>
          <w:tcPr>
            <w:tcW w:w="15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Extension, Interest</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5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7"/>
              </w:rPr>
              <w:t>Rate Reduction and</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2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8"/>
              </w:rPr>
              <w:t>Deferral (Only)</w:t>
            </w:r>
          </w:p>
        </w:tc>
        <w:tc>
          <w:tcPr>
            <w:tcW w:w="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420" w:type="dxa"/>
            <w:vAlign w:val="bottom"/>
            <w:tcBorders>
              <w:bottom w:val="single" w:sz="8" w:color="2C6937"/>
            </w:tcBorders>
          </w:tcPr>
          <w:p>
            <w:pPr>
              <w:jc w:val="center"/>
              <w:ind w:right="46"/>
              <w:spacing w:after="0"/>
              <w:rPr>
                <w:sz w:val="20"/>
                <w:szCs w:val="20"/>
                <w:color w:val="auto"/>
              </w:rPr>
            </w:pPr>
            <w:r>
              <w:rPr>
                <w:rFonts w:ascii="Arial" w:cs="Arial" w:eastAsia="Arial" w:hAnsi="Arial"/>
                <w:sz w:val="14"/>
                <w:szCs w:val="14"/>
                <w:b w:val="1"/>
                <w:bCs w:val="1"/>
                <w:color w:val="auto"/>
                <w:w w:val="97"/>
              </w:rPr>
              <w:t>Term Extension</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tcPr>
          <w:p>
            <w:pPr>
              <w:jc w:val="center"/>
              <w:ind w:right="25"/>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5"/>
          </w:tcPr>
          <w:p>
            <w:pPr>
              <w:ind w:left="80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7"/>
        </w:trPr>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1,727</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925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24"/>
                <w:szCs w:val="24"/>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2,670</w:t>
            </w: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33"/>
        </w:trPr>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5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1,806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936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2,770</w:t>
            </w: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19"/>
        </w:trPr>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1,806</w:t>
            </w:r>
          </w:p>
        </w:tc>
        <w:tc>
          <w:tcPr>
            <w:tcW w:w="80" w:type="dxa"/>
            <w:vAlign w:val="bottom"/>
          </w:tcPr>
          <w:p>
            <w:pPr>
              <w:spacing w:after="0"/>
              <w:rPr>
                <w:sz w:val="19"/>
                <w:szCs w:val="19"/>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4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936</w:t>
            </w:r>
          </w:p>
        </w:tc>
        <w:tc>
          <w:tcPr>
            <w:tcW w:w="100" w:type="dxa"/>
            <w:vAlign w:val="bottom"/>
          </w:tcPr>
          <w:p>
            <w:pPr>
              <w:spacing w:after="0"/>
              <w:rPr>
                <w:sz w:val="19"/>
                <w:szCs w:val="19"/>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9"/>
                <w:szCs w:val="19"/>
                <w:color w:val="auto"/>
              </w:rPr>
            </w:pPr>
          </w:p>
        </w:tc>
        <w:tc>
          <w:tcPr>
            <w:tcW w:w="360" w:type="dxa"/>
            <w:vAlign w:val="bottom"/>
            <w:tcBorders>
              <w:top w:val="single" w:sz="8" w:color="2C6937"/>
              <w:bottom w:val="single" w:sz="8" w:color="2C6937"/>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2,788</w:t>
            </w:r>
          </w:p>
        </w:tc>
        <w:tc>
          <w:tcPr>
            <w:tcW w:w="0" w:type="dxa"/>
            <w:vAlign w:val="bottom"/>
          </w:tcPr>
          <w:p>
            <w:pPr>
              <w:spacing w:after="0"/>
              <w:rPr>
                <w:sz w:val="1"/>
                <w:szCs w:val="1"/>
                <w:color w:val="auto"/>
              </w:rPr>
            </w:pPr>
          </w:p>
        </w:tc>
      </w:tr>
      <w:tr>
        <w:trPr>
          <w:trHeight w:val="26"/>
        </w:trPr>
        <w:tc>
          <w:tcPr>
            <w:tcW w:w="120" w:type="dxa"/>
            <w:vAlign w:val="bottom"/>
            <w:tcBorders>
              <w:bottom w:val="single" w:sz="8" w:color="2C6937"/>
            </w:tcBorders>
          </w:tcPr>
          <w:p>
            <w:pPr>
              <w:spacing w:after="0"/>
              <w:rPr>
                <w:sz w:val="2"/>
                <w:szCs w:val="2"/>
                <w:color w:val="auto"/>
              </w:rPr>
            </w:pPr>
          </w:p>
        </w:tc>
        <w:tc>
          <w:tcPr>
            <w:tcW w:w="14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1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2C6937"/>
            </w:tcBorders>
            <w:gridSpan w:val="2"/>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2C6937"/>
            </w:tcBorders>
          </w:tcPr>
          <w:p>
            <w:pPr>
              <w:spacing w:after="0"/>
              <w:rPr>
                <w:sz w:val="2"/>
                <w:szCs w:val="2"/>
                <w:color w:val="auto"/>
              </w:rPr>
            </w:pPr>
          </w:p>
        </w:tc>
        <w:tc>
          <w:tcPr>
            <w:tcW w:w="12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12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3200" w:type="dxa"/>
            <w:vAlign w:val="bottom"/>
            <w:tcBorders>
              <w:bottom w:val="single" w:sz="8" w:color="2C6937"/>
            </w:tcBorders>
            <w:gridSpan w:val="5"/>
          </w:tcPr>
          <w:p>
            <w:pPr>
              <w:jc w:val="center"/>
              <w:ind w:right="220"/>
              <w:spacing w:after="0"/>
              <w:rPr>
                <w:sz w:val="20"/>
                <w:szCs w:val="20"/>
                <w:color w:val="auto"/>
              </w:rPr>
            </w:pPr>
            <w:r>
              <w:rPr>
                <w:rFonts w:ascii="Arial" w:cs="Arial" w:eastAsia="Arial" w:hAnsi="Arial"/>
                <w:sz w:val="14"/>
                <w:szCs w:val="14"/>
                <w:b w:val="1"/>
                <w:bCs w:val="1"/>
                <w:color w:val="auto"/>
                <w:w w:val="97"/>
              </w:rPr>
              <w:t>For the Three Months Ended June 30, 2023</w:t>
            </w:r>
          </w:p>
        </w:tc>
        <w:tc>
          <w:tcPr>
            <w:tcW w:w="360" w:type="dxa"/>
            <w:vAlign w:val="bottom"/>
            <w:tcBorders>
              <w:bottom w:val="single" w:sz="8" w:color="2C6937"/>
            </w:tcBorders>
          </w:tcPr>
          <w:p>
            <w:pPr>
              <w:spacing w:after="0"/>
              <w:rPr>
                <w:sz w:val="24"/>
                <w:szCs w:val="24"/>
                <w:color w:val="auto"/>
              </w:rPr>
            </w:pPr>
          </w:p>
        </w:tc>
        <w:tc>
          <w:tcPr>
            <w:tcW w:w="12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20" w:type="dxa"/>
            <w:vAlign w:val="bottom"/>
          </w:tcPr>
          <w:p>
            <w:pPr>
              <w:spacing w:after="0"/>
              <w:rPr>
                <w:sz w:val="12"/>
                <w:szCs w:val="12"/>
                <w:color w:val="auto"/>
              </w:rPr>
            </w:pPr>
          </w:p>
        </w:tc>
        <w:tc>
          <w:tcPr>
            <w:tcW w:w="15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 and</w:t>
            </w:r>
          </w:p>
        </w:tc>
        <w:tc>
          <w:tcPr>
            <w:tcW w:w="100" w:type="dxa"/>
            <w:vAlign w:val="bottom"/>
          </w:tcPr>
          <w:p>
            <w:pPr>
              <w:spacing w:after="0"/>
              <w:rPr>
                <w:sz w:val="12"/>
                <w:szCs w:val="12"/>
                <w:color w:val="auto"/>
              </w:rPr>
            </w:pPr>
          </w:p>
        </w:tc>
        <w:tc>
          <w:tcPr>
            <w:tcW w:w="15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5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8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8"/>
              </w:rPr>
              <w:t>Extension and Interest</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120" w:type="dxa"/>
            <w:vAlign w:val="bottom"/>
            <w:tcBorders>
              <w:bottom w:val="single" w:sz="8" w:color="2C6937"/>
            </w:tcBorders>
          </w:tcPr>
          <w:p>
            <w:pPr>
              <w:spacing w:after="0"/>
              <w:rPr>
                <w:sz w:val="15"/>
                <w:szCs w:val="15"/>
                <w:color w:val="auto"/>
              </w:rPr>
            </w:pPr>
          </w:p>
        </w:tc>
        <w:tc>
          <w:tcPr>
            <w:tcW w:w="15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Deferral (Only)</w:t>
            </w:r>
          </w:p>
        </w:tc>
        <w:tc>
          <w:tcPr>
            <w:tcW w:w="140" w:type="dxa"/>
            <w:vAlign w:val="bottom"/>
            <w:tcBorders>
              <w:bottom w:val="single" w:sz="8" w:color="2C6937"/>
            </w:tcBorders>
          </w:tcPr>
          <w:p>
            <w:pPr>
              <w:spacing w:after="0"/>
              <w:rPr>
                <w:sz w:val="15"/>
                <w:szCs w:val="15"/>
                <w:color w:val="auto"/>
              </w:rPr>
            </w:pPr>
          </w:p>
        </w:tc>
        <w:tc>
          <w:tcPr>
            <w:tcW w:w="152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7"/>
              </w:rPr>
              <w:t>Term Extension</w:t>
            </w:r>
          </w:p>
        </w:tc>
        <w:tc>
          <w:tcPr>
            <w:tcW w:w="100" w:type="dxa"/>
            <w:vAlign w:val="bottom"/>
            <w:tcBorders>
              <w:bottom w:val="single" w:sz="8" w:color="2C6937"/>
            </w:tcBorders>
          </w:tcPr>
          <w:p>
            <w:pPr>
              <w:spacing w:after="0"/>
              <w:rPr>
                <w:sz w:val="15"/>
                <w:szCs w:val="15"/>
                <w:color w:val="auto"/>
              </w:rPr>
            </w:pPr>
          </w:p>
        </w:tc>
        <w:tc>
          <w:tcPr>
            <w:tcW w:w="158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Rate Reduction</w:t>
            </w: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6"/>
              </w:rPr>
              <w:t>(Dollars 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819</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327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197</w:t>
            </w:r>
          </w:p>
        </w:tc>
        <w:tc>
          <w:tcPr>
            <w:tcW w:w="80" w:type="dxa"/>
            <w:vAlign w:val="bottom"/>
          </w:tcPr>
          <w:p>
            <w:pPr>
              <w:spacing w:after="0"/>
              <w:rPr>
                <w:sz w:val="24"/>
                <w:szCs w:val="24"/>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1,343</w:t>
            </w: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9"/>
        </w:trPr>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5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859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209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1,402</w:t>
            </w: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5"/>
        </w:trPr>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859</w:t>
            </w:r>
          </w:p>
        </w:tc>
        <w:tc>
          <w:tcPr>
            <w:tcW w:w="80" w:type="dxa"/>
            <w:vAlign w:val="bottom"/>
          </w:tcPr>
          <w:p>
            <w:pPr>
              <w:spacing w:after="0"/>
              <w:rPr>
                <w:sz w:val="19"/>
                <w:szCs w:val="19"/>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4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334</w:t>
            </w:r>
          </w:p>
        </w:tc>
        <w:tc>
          <w:tcPr>
            <w:tcW w:w="100" w:type="dxa"/>
            <w:vAlign w:val="bottom"/>
          </w:tcPr>
          <w:p>
            <w:pPr>
              <w:spacing w:after="0"/>
              <w:rPr>
                <w:sz w:val="19"/>
                <w:szCs w:val="19"/>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210</w:t>
            </w:r>
          </w:p>
        </w:tc>
        <w:tc>
          <w:tcPr>
            <w:tcW w:w="80" w:type="dxa"/>
            <w:vAlign w:val="bottom"/>
          </w:tcPr>
          <w:p>
            <w:pPr>
              <w:spacing w:after="0"/>
              <w:rPr>
                <w:sz w:val="19"/>
                <w:szCs w:val="19"/>
                <w:color w:val="auto"/>
              </w:rPr>
            </w:pPr>
          </w:p>
        </w:tc>
        <w:tc>
          <w:tcPr>
            <w:tcW w:w="360" w:type="dxa"/>
            <w:vAlign w:val="bottom"/>
            <w:tcBorders>
              <w:top w:val="single" w:sz="8" w:color="2C6937"/>
              <w:bottom w:val="single" w:sz="8" w:color="2C6937"/>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1,403</w:t>
            </w:r>
          </w:p>
        </w:tc>
        <w:tc>
          <w:tcPr>
            <w:tcW w:w="0" w:type="dxa"/>
            <w:vAlign w:val="bottom"/>
          </w:tcPr>
          <w:p>
            <w:pPr>
              <w:spacing w:after="0"/>
              <w:rPr>
                <w:sz w:val="1"/>
                <w:szCs w:val="1"/>
                <w:color w:val="auto"/>
              </w:rPr>
            </w:pPr>
          </w:p>
        </w:tc>
      </w:tr>
      <w:tr>
        <w:trPr>
          <w:trHeight w:val="26"/>
        </w:trPr>
        <w:tc>
          <w:tcPr>
            <w:tcW w:w="120" w:type="dxa"/>
            <w:vAlign w:val="bottom"/>
            <w:tcBorders>
              <w:bottom w:val="single" w:sz="8" w:color="2C6937"/>
            </w:tcBorders>
          </w:tcPr>
          <w:p>
            <w:pPr>
              <w:spacing w:after="0"/>
              <w:rPr>
                <w:sz w:val="2"/>
                <w:szCs w:val="2"/>
                <w:color w:val="auto"/>
              </w:rPr>
            </w:pPr>
          </w:p>
        </w:tc>
        <w:tc>
          <w:tcPr>
            <w:tcW w:w="14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1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50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2C6937"/>
            </w:tcBorders>
          </w:tcPr>
          <w:p>
            <w:pPr>
              <w:spacing w:after="0"/>
              <w:rPr>
                <w:sz w:val="2"/>
                <w:szCs w:val="2"/>
                <w:color w:val="auto"/>
              </w:rPr>
            </w:pPr>
          </w:p>
        </w:tc>
        <w:tc>
          <w:tcPr>
            <w:tcW w:w="12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-2563495</wp:posOffset>
            </wp:positionH>
            <wp:positionV relativeFrom="paragraph">
              <wp:posOffset>794385</wp:posOffset>
            </wp:positionV>
            <wp:extent cx="680593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20" w:space="720"/>
            <w:col w:w="6540"/>
          </w:cols>
          <w:pgMar w:left="340" w:top="24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20"/>
        <w:spacing w:after="0"/>
        <w:rPr>
          <w:sz w:val="20"/>
          <w:szCs w:val="20"/>
          <w:color w:val="auto"/>
        </w:rPr>
      </w:pPr>
      <w:r>
        <w:rPr>
          <w:rFonts w:ascii="Arial" w:cs="Arial" w:eastAsia="Arial" w:hAnsi="Arial"/>
          <w:sz w:val="13"/>
          <w:szCs w:val="13"/>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167005</wp:posOffset>
            </wp:positionV>
            <wp:extent cx="7164070" cy="419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40" w:top="248" w:right="379" w:bottom="1440" w:gutter="0" w:footer="0" w:header="0"/>
          <w:type w:val="continuous"/>
        </w:sectPr>
      </w:pPr>
    </w:p>
    <w:bookmarkStart w:id="83" w:name="page84"/>
    <w:bookmarkEnd w:id="83"/>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200" w:type="dxa"/>
            <w:vAlign w:val="bottom"/>
            <w:tcBorders>
              <w:bottom w:val="single" w:sz="8" w:color="2C6937"/>
            </w:tcBorders>
            <w:gridSpan w:val="5"/>
          </w:tcPr>
          <w:p>
            <w:pPr>
              <w:jc w:val="center"/>
              <w:ind w:right="220"/>
              <w:spacing w:after="0"/>
              <w:rPr>
                <w:sz w:val="20"/>
                <w:szCs w:val="20"/>
                <w:color w:val="auto"/>
              </w:rPr>
            </w:pPr>
            <w:r>
              <w:rPr>
                <w:rFonts w:ascii="Arial" w:cs="Arial" w:eastAsia="Arial" w:hAnsi="Arial"/>
                <w:sz w:val="14"/>
                <w:szCs w:val="14"/>
                <w:b w:val="1"/>
                <w:bCs w:val="1"/>
                <w:color w:val="auto"/>
                <w:w w:val="97"/>
              </w:rPr>
              <w:t>For the Six Months Ended June 30, 2023</w:t>
            </w:r>
          </w:p>
        </w:tc>
        <w:tc>
          <w:tcPr>
            <w:tcW w:w="36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 and</w:t>
            </w:r>
          </w:p>
        </w:tc>
        <w:tc>
          <w:tcPr>
            <w:tcW w:w="100" w:type="dxa"/>
            <w:vAlign w:val="bottom"/>
          </w:tcPr>
          <w:p>
            <w:pPr>
              <w:spacing w:after="0"/>
              <w:rPr>
                <w:sz w:val="12"/>
                <w:szCs w:val="12"/>
                <w:color w:val="auto"/>
              </w:rPr>
            </w:pPr>
          </w:p>
        </w:tc>
        <w:tc>
          <w:tcPr>
            <w:tcW w:w="15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80" w:type="dxa"/>
            <w:vAlign w:val="bottom"/>
            <w:gridSpan w:val="3"/>
          </w:tcPr>
          <w:p>
            <w:pPr>
              <w:jc w:val="center"/>
              <w:ind w:right="80"/>
              <w:spacing w:after="0" w:line="139" w:lineRule="exact"/>
              <w:rPr>
                <w:sz w:val="20"/>
                <w:szCs w:val="20"/>
                <w:color w:val="auto"/>
              </w:rPr>
            </w:pPr>
            <w:r>
              <w:rPr>
                <w:rFonts w:ascii="Arial" w:cs="Arial" w:eastAsia="Arial" w:hAnsi="Arial"/>
                <w:sz w:val="14"/>
                <w:szCs w:val="14"/>
                <w:b w:val="1"/>
                <w:bCs w:val="1"/>
                <w:color w:val="auto"/>
                <w:w w:val="98"/>
              </w:rPr>
              <w:t>Extension and Interest</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5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Deferral (Only)</w:t>
            </w:r>
          </w:p>
        </w:tc>
        <w:tc>
          <w:tcPr>
            <w:tcW w:w="140" w:type="dxa"/>
            <w:vAlign w:val="bottom"/>
            <w:tcBorders>
              <w:bottom w:val="single" w:sz="8" w:color="2C6937"/>
            </w:tcBorders>
          </w:tcPr>
          <w:p>
            <w:pPr>
              <w:spacing w:after="0"/>
              <w:rPr>
                <w:sz w:val="15"/>
                <w:szCs w:val="15"/>
                <w:color w:val="auto"/>
              </w:rPr>
            </w:pPr>
          </w:p>
        </w:tc>
        <w:tc>
          <w:tcPr>
            <w:tcW w:w="152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7"/>
              </w:rPr>
              <w:t>Term Extension</w:t>
            </w:r>
          </w:p>
        </w:tc>
        <w:tc>
          <w:tcPr>
            <w:tcW w:w="100" w:type="dxa"/>
            <w:vAlign w:val="bottom"/>
            <w:tcBorders>
              <w:bottom w:val="single" w:sz="8" w:color="2C6937"/>
            </w:tcBorders>
          </w:tcPr>
          <w:p>
            <w:pPr>
              <w:spacing w:after="0"/>
              <w:rPr>
                <w:sz w:val="15"/>
                <w:szCs w:val="15"/>
                <w:color w:val="auto"/>
              </w:rPr>
            </w:pPr>
          </w:p>
        </w:tc>
        <w:tc>
          <w:tcPr>
            <w:tcW w:w="158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Rate Reduction</w:t>
            </w: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6"/>
              </w:rPr>
              <w:t>(Dollars 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1,290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446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385</w:t>
            </w:r>
          </w:p>
        </w:tc>
        <w:tc>
          <w:tcPr>
            <w:tcW w:w="80" w:type="dxa"/>
            <w:vAlign w:val="bottom"/>
          </w:tcPr>
          <w:p>
            <w:pPr>
              <w:spacing w:after="0"/>
              <w:rPr>
                <w:sz w:val="20"/>
                <w:szCs w:val="20"/>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2,121</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39"/>
        </w:trPr>
        <w:tc>
          <w:tcPr>
            <w:tcW w:w="4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5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18"/>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2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1,355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407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2,219</w:t>
            </w:r>
          </w:p>
        </w:tc>
        <w:tc>
          <w:tcPr>
            <w:tcW w:w="0" w:type="dxa"/>
            <w:vAlign w:val="bottom"/>
          </w:tcPr>
          <w:p>
            <w:pPr>
              <w:spacing w:after="0"/>
              <w:rPr>
                <w:sz w:val="1"/>
                <w:szCs w:val="1"/>
                <w:color w:val="auto"/>
              </w:rPr>
            </w:pPr>
          </w:p>
        </w:tc>
      </w:tr>
      <w:tr>
        <w:trPr>
          <w:trHeight w:val="239"/>
        </w:trPr>
        <w:tc>
          <w:tcPr>
            <w:tcW w:w="45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5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1,355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457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408</w:t>
            </w:r>
          </w:p>
        </w:tc>
        <w:tc>
          <w:tcPr>
            <w:tcW w:w="80" w:type="dxa"/>
            <w:vAlign w:val="bottom"/>
          </w:tcPr>
          <w:p>
            <w:pPr>
              <w:spacing w:after="0"/>
              <w:rPr>
                <w:sz w:val="20"/>
                <w:szCs w:val="20"/>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2,220</w:t>
            </w:r>
          </w:p>
        </w:tc>
        <w:tc>
          <w:tcPr>
            <w:tcW w:w="0" w:type="dxa"/>
            <w:vAlign w:val="bottom"/>
          </w:tcPr>
          <w:p>
            <w:pPr>
              <w:spacing w:after="0"/>
              <w:rPr>
                <w:sz w:val="1"/>
                <w:szCs w:val="1"/>
                <w:color w:val="auto"/>
              </w:rPr>
            </w:pPr>
          </w:p>
        </w:tc>
      </w:tr>
      <w:tr>
        <w:trPr>
          <w:trHeight w:val="20"/>
        </w:trPr>
        <w:tc>
          <w:tcPr>
            <w:tcW w:w="4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Represents amortized cost as of period end. Excludes loans that liquidated either through foreclosure, deed-in-lieu of foreclosure, or a short sale.</w:t>
      </w:r>
    </w:p>
    <w:p>
      <w:pPr>
        <w:spacing w:after="0" w:line="37" w:lineRule="exact"/>
        <w:rPr>
          <w:rFonts w:ascii="Arial" w:cs="Arial" w:eastAsia="Arial" w:hAnsi="Arial"/>
          <w:sz w:val="18"/>
          <w:szCs w:val="18"/>
          <w:color w:val="auto"/>
          <w:vertAlign w:val="superscript"/>
        </w:rPr>
      </w:pPr>
    </w:p>
    <w:p>
      <w:pPr>
        <w:ind w:left="240" w:right="160" w:hanging="237"/>
        <w:spacing w:after="0" w:line="222" w:lineRule="auto"/>
        <w:tabs>
          <w:tab w:leader="none" w:pos="216"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The substantial majority of loans that received a completed modification or a payment deferral during for the three months ended June 30, 2024 did not default during the second quarter of 2024. The substantial majority of loans that received a completed modification or a payment deferral during the three months ended June 30, 2023 did not default during the second quarter of 2023.</w:t>
      </w:r>
    </w:p>
    <w:p>
      <w:pPr>
        <w:spacing w:after="0" w:line="5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following tables display an aging analysis of HFI mortgage loans that were restructured during the twelve months prior to June 30, 2024 and June 30, 2023, respectively, presented by portfolio segment and class of financing receivable.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2640" w:type="dxa"/>
            <w:vAlign w:val="bottom"/>
            <w:tcBorders>
              <w:bottom w:val="single" w:sz="8" w:color="2C6937"/>
            </w:tcBorders>
            <w:gridSpan w:val="5"/>
          </w:tcPr>
          <w:p>
            <w:pPr>
              <w:jc w:val="center"/>
              <w:ind w:right="300"/>
              <w:spacing w:after="0"/>
              <w:rPr>
                <w:sz w:val="20"/>
                <w:szCs w:val="20"/>
                <w:color w:val="auto"/>
              </w:rPr>
            </w:pPr>
            <w:r>
              <w:rPr>
                <w:rFonts w:ascii="Arial" w:cs="Arial" w:eastAsia="Arial" w:hAnsi="Arial"/>
                <w:sz w:val="14"/>
                <w:szCs w:val="14"/>
                <w:b w:val="1"/>
                <w:bCs w:val="1"/>
                <w:color w:val="auto"/>
                <w:w w:val="98"/>
              </w:rPr>
              <w:t>As of June 30, 2024</w:t>
            </w:r>
            <w:r>
              <w:rPr>
                <w:rFonts w:ascii="Arial" w:cs="Arial" w:eastAsia="Arial" w:hAnsi="Arial"/>
                <w:sz w:val="8"/>
                <w:szCs w:val="8"/>
                <w:b w:val="1"/>
                <w:bCs w:val="1"/>
                <w:color w:val="auto"/>
                <w:w w:val="98"/>
              </w:rPr>
              <w:t>(1)</w:t>
            </w:r>
          </w:p>
        </w:tc>
        <w:tc>
          <w:tcPr>
            <w:tcW w:w="26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30-59 Days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60-89 Days</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Seriously</w:t>
            </w:r>
          </w:p>
        </w:tc>
        <w:tc>
          <w:tcPr>
            <w:tcW w:w="12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Delinquent</w:t>
            </w:r>
          </w:p>
        </w:tc>
        <w:tc>
          <w:tcPr>
            <w:tcW w:w="260" w:type="dxa"/>
            <w:vAlign w:val="bottom"/>
          </w:tcPr>
          <w:p>
            <w:pPr>
              <w:spacing w:after="0"/>
              <w:rPr>
                <w:sz w:val="13"/>
                <w:szCs w:val="13"/>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300" w:type="dxa"/>
            <w:vAlign w:val="bottom"/>
          </w:tcPr>
          <w:p>
            <w:pPr>
              <w:spacing w:after="0"/>
              <w:rPr>
                <w:sz w:val="13"/>
                <w:szCs w:val="13"/>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Delinquent</w:t>
            </w: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60"/>
              <w:spacing w:after="0" w:line="180" w:lineRule="exact"/>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(2)</w:t>
            </w: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2"/>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82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3,970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2,359</w:t>
            </w:r>
          </w:p>
        </w:tc>
        <w:tc>
          <w:tcPr>
            <w:tcW w:w="8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10,681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17,010</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12,933</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29,943</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348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930</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239"/>
        </w:trPr>
        <w:tc>
          <w:tcPr>
            <w:tcW w:w="2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36</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124</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220</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180</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218"/>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Total single-family loans modified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4,157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2,468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11,198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17,823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13,559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31,382</w:t>
            </w:r>
          </w:p>
        </w:tc>
        <w:tc>
          <w:tcPr>
            <w:tcW w:w="0" w:type="dxa"/>
            <w:vAlign w:val="bottom"/>
          </w:tcPr>
          <w:p>
            <w:pPr>
              <w:spacing w:after="0"/>
              <w:rPr>
                <w:sz w:val="1"/>
                <w:szCs w:val="1"/>
                <w:color w:val="auto"/>
              </w:rPr>
            </w:pPr>
          </w:p>
        </w:tc>
      </w:tr>
      <w:tr>
        <w:trPr>
          <w:trHeight w:val="239"/>
        </w:trPr>
        <w:tc>
          <w:tcPr>
            <w:tcW w:w="2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N/A</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361</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361</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883</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1,244</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4,157</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2,468</w:t>
            </w:r>
          </w:p>
        </w:tc>
        <w:tc>
          <w:tcPr>
            <w:tcW w:w="8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11,559</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18,184</w:t>
            </w:r>
          </w:p>
        </w:tc>
        <w:tc>
          <w:tcPr>
            <w:tcW w:w="10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14,442</w:t>
            </w:r>
          </w:p>
        </w:tc>
        <w:tc>
          <w:tcPr>
            <w:tcW w:w="100" w:type="dxa"/>
            <w:vAlign w:val="bottom"/>
          </w:tcPr>
          <w:p>
            <w:pPr>
              <w:spacing w:after="0"/>
              <w:rPr>
                <w:sz w:val="20"/>
                <w:szCs w:val="20"/>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32,626</w:t>
            </w:r>
          </w:p>
        </w:tc>
        <w:tc>
          <w:tcPr>
            <w:tcW w:w="0" w:type="dxa"/>
            <w:vAlign w:val="bottom"/>
          </w:tcPr>
          <w:p>
            <w:pPr>
              <w:spacing w:after="0"/>
              <w:rPr>
                <w:sz w:val="1"/>
                <w:szCs w:val="1"/>
                <w:color w:val="auto"/>
              </w:rPr>
            </w:pPr>
          </w:p>
        </w:tc>
      </w:tr>
      <w:tr>
        <w:trPr>
          <w:trHeight w:val="20"/>
        </w:trPr>
        <w:tc>
          <w:tcPr>
            <w:tcW w:w="2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4" w:name="page85"/>
    <w:bookmarkEnd w:id="84"/>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2640" w:type="dxa"/>
            <w:vAlign w:val="bottom"/>
            <w:tcBorders>
              <w:bottom w:val="single" w:sz="8" w:color="2C6937"/>
            </w:tcBorders>
            <w:gridSpan w:val="5"/>
          </w:tcPr>
          <w:p>
            <w:pPr>
              <w:jc w:val="center"/>
              <w:ind w:right="300"/>
              <w:spacing w:after="0"/>
              <w:rPr>
                <w:sz w:val="20"/>
                <w:szCs w:val="20"/>
                <w:color w:val="auto"/>
              </w:rPr>
            </w:pPr>
            <w:r>
              <w:rPr>
                <w:rFonts w:ascii="Arial" w:cs="Arial" w:eastAsia="Arial" w:hAnsi="Arial"/>
                <w:sz w:val="14"/>
                <w:szCs w:val="14"/>
                <w:b w:val="1"/>
                <w:bCs w:val="1"/>
                <w:color w:val="auto"/>
                <w:w w:val="95"/>
              </w:rPr>
              <w:t>As of June 30, 2023</w:t>
            </w:r>
            <w:r>
              <w:rPr>
                <w:rFonts w:ascii="Arial" w:cs="Arial" w:eastAsia="Arial" w:hAnsi="Arial"/>
                <w:sz w:val="17"/>
                <w:szCs w:val="17"/>
                <w:b w:val="1"/>
                <w:bCs w:val="1"/>
                <w:color w:val="auto"/>
                <w:w w:val="95"/>
                <w:vertAlign w:val="superscript"/>
              </w:rPr>
              <w:t>(1)</w:t>
            </w:r>
          </w:p>
        </w:tc>
        <w:tc>
          <w:tcPr>
            <w:tcW w:w="26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30-59 Days</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60-89 Days</w:t>
            </w: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Seriously</w:t>
            </w:r>
          </w:p>
        </w:tc>
        <w:tc>
          <w:tcPr>
            <w:tcW w:w="12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Delinquent</w:t>
            </w:r>
          </w:p>
        </w:tc>
        <w:tc>
          <w:tcPr>
            <w:tcW w:w="26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300" w:type="dxa"/>
            <w:vAlign w:val="bottom"/>
          </w:tcPr>
          <w:p>
            <w:pPr>
              <w:spacing w:after="0"/>
              <w:rPr>
                <w:sz w:val="12"/>
                <w:szCs w:val="12"/>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Delinquent</w:t>
            </w: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60"/>
              <w:spacing w:after="0" w:line="180" w:lineRule="exact"/>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(2)</w:t>
            </w: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2"/>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2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3,442</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2,227</w:t>
            </w:r>
          </w:p>
        </w:tc>
        <w:tc>
          <w:tcPr>
            <w:tcW w:w="8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12,035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17,704</w:t>
            </w:r>
          </w:p>
        </w:tc>
        <w:tc>
          <w:tcPr>
            <w:tcW w:w="100" w:type="dxa"/>
            <w:vAlign w:val="bottom"/>
          </w:tcPr>
          <w:p>
            <w:pPr>
              <w:spacing w:after="0"/>
              <w:rPr>
                <w:sz w:val="18"/>
                <w:szCs w:val="18"/>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18,060</w:t>
            </w:r>
          </w:p>
        </w:tc>
        <w:tc>
          <w:tcPr>
            <w:tcW w:w="100" w:type="dxa"/>
            <w:vAlign w:val="bottom"/>
          </w:tcPr>
          <w:p>
            <w:pPr>
              <w:spacing w:after="0"/>
              <w:rPr>
                <w:sz w:val="18"/>
                <w:szCs w:val="18"/>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35,764</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82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447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1,282</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239"/>
        </w:trPr>
        <w:tc>
          <w:tcPr>
            <w:tcW w:w="2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251</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376</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400</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776</w:t>
            </w:r>
          </w:p>
        </w:tc>
        <w:tc>
          <w:tcPr>
            <w:tcW w:w="0" w:type="dxa"/>
            <w:vAlign w:val="bottom"/>
          </w:tcPr>
          <w:p>
            <w:pPr>
              <w:spacing w:after="0"/>
              <w:rPr>
                <w:sz w:val="1"/>
                <w:szCs w:val="1"/>
                <w:color w:val="auto"/>
              </w:rPr>
            </w:pPr>
          </w:p>
        </w:tc>
      </w:tr>
      <w:tr>
        <w:trPr>
          <w:trHeight w:val="218"/>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Total single-family loans modified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3,652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2,361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12,792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18,805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19,165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37,970</w:t>
            </w:r>
          </w:p>
        </w:tc>
        <w:tc>
          <w:tcPr>
            <w:tcW w:w="0" w:type="dxa"/>
            <w:vAlign w:val="bottom"/>
          </w:tcPr>
          <w:p>
            <w:pPr>
              <w:spacing w:after="0"/>
              <w:rPr>
                <w:sz w:val="1"/>
                <w:szCs w:val="1"/>
                <w:color w:val="auto"/>
              </w:rPr>
            </w:pPr>
          </w:p>
        </w:tc>
      </w:tr>
      <w:tr>
        <w:trPr>
          <w:trHeight w:val="239"/>
        </w:trPr>
        <w:tc>
          <w:tcPr>
            <w:tcW w:w="2720" w:type="dxa"/>
            <w:vAlign w:val="bottom"/>
            <w:tcBorders>
              <w:bottom w:val="single" w:sz="8" w:color="2C6937"/>
            </w:tcBorders>
          </w:tcPr>
          <w:p>
            <w:pPr>
              <w:ind w:left="6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N/A</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380</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380</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969</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1,349</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3,652</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2,361</w:t>
            </w:r>
          </w:p>
        </w:tc>
        <w:tc>
          <w:tcPr>
            <w:tcW w:w="8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13,172</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19,185</w:t>
            </w:r>
          </w:p>
        </w:tc>
        <w:tc>
          <w:tcPr>
            <w:tcW w:w="10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20,134</w:t>
            </w:r>
          </w:p>
        </w:tc>
        <w:tc>
          <w:tcPr>
            <w:tcW w:w="100" w:type="dxa"/>
            <w:vAlign w:val="bottom"/>
          </w:tcPr>
          <w:p>
            <w:pPr>
              <w:spacing w:after="0"/>
              <w:rPr>
                <w:sz w:val="20"/>
                <w:szCs w:val="20"/>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39,319</w:t>
            </w:r>
          </w:p>
        </w:tc>
        <w:tc>
          <w:tcPr>
            <w:tcW w:w="0" w:type="dxa"/>
            <w:vAlign w:val="bottom"/>
          </w:tcPr>
          <w:p>
            <w:pPr>
              <w:spacing w:after="0"/>
              <w:rPr>
                <w:sz w:val="1"/>
                <w:szCs w:val="1"/>
                <w:color w:val="auto"/>
              </w:rPr>
            </w:pPr>
          </w:p>
        </w:tc>
      </w:tr>
      <w:tr>
        <w:trPr>
          <w:trHeight w:val="20"/>
        </w:trPr>
        <w:tc>
          <w:tcPr>
            <w:tcW w:w="2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40" w:right="440" w:hanging="237"/>
        <w:spacing w:after="0" w:line="226" w:lineRule="auto"/>
        <w:tabs>
          <w:tab w:leader="none" w:pos="216"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The substantial majority of loans that received a completed modification or a payment deferral during the second quarter of 2024 were not delinquent as of June 30, 2024. The substantial majority of loans that received a completed modification or a payment deferral during the second quarter of 2023 were not delinquent as of June 30, 2023.</w:t>
      </w:r>
    </w:p>
    <w:p>
      <w:pPr>
        <w:spacing w:after="0" w:line="14" w:lineRule="exact"/>
        <w:rPr>
          <w:rFonts w:ascii="Arial" w:cs="Arial" w:eastAsia="Arial" w:hAnsi="Arial"/>
          <w:sz w:val="18"/>
          <w:szCs w:val="18"/>
          <w:color w:val="auto"/>
          <w:vertAlign w:val="superscript"/>
        </w:rPr>
      </w:pPr>
    </w:p>
    <w:p>
      <w:pPr>
        <w:ind w:left="240" w:hanging="237"/>
        <w:spacing w:after="0"/>
        <w:tabs>
          <w:tab w:leader="none" w:pos="240" w:val="left"/>
        </w:tabs>
        <w:numPr>
          <w:ilvl w:val="0"/>
          <w:numId w:val="78"/>
        </w:numPr>
        <w:rPr>
          <w:rFonts w:ascii="Arial" w:cs="Arial" w:eastAsia="Arial" w:hAnsi="Arial"/>
          <w:sz w:val="9"/>
          <w:szCs w:val="9"/>
          <w:color w:val="auto"/>
        </w:rPr>
      </w:pPr>
      <w:r>
        <w:rPr>
          <w:rFonts w:ascii="Arial" w:cs="Arial" w:eastAsia="Arial" w:hAnsi="Arial"/>
          <w:sz w:val="14"/>
          <w:szCs w:val="14"/>
          <w:color w:val="auto"/>
        </w:rPr>
        <w:t>Multifamily loans 60-89 days delinquent are included in the seriously delinquent column.</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Represents the amortized cost basis as of period end.</w:t>
      </w:r>
    </w:p>
    <w:p>
      <w:pPr>
        <w:spacing w:after="0" w:line="9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Nonaccrual Loans</w:t>
      </w:r>
    </w:p>
    <w:p>
      <w:pPr>
        <w:spacing w:after="0" w:line="6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recognize interest income on an accrual basis except when we believe the collection of principal and interest is not reasonably assured. This generally occurs when a single-family loan is three or more months past due and a multifamily loan is two or more months past due according to its contractual terms. A loan is reported as past due if a full payment of principal and interest is not received within one month of its due date. When a loan is placed on nonaccrual status based on delinquency status, interest previously accrued but not collected on the loan is reversed through interest income.</w:t>
      </w:r>
    </w:p>
    <w:p>
      <w:pPr>
        <w:spacing w:after="0" w:line="33"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Cost basis adjustments on HFI loans are amortized into interest income over the contractual life of the loan using the effective interest method. Cost basis adjustments on the loan are not amortized into income while a loan is on nonaccrual status. We have elected not to measure an allowance for credit losses on accrued interest receivable balances as we have a nonaccrual policy to ensure the timely reversal of unpaid accrued interest.</w:t>
      </w:r>
    </w:p>
    <w:p>
      <w:pPr>
        <w:spacing w:after="0" w:line="2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For single-family loans, we recognize any contractual interest payments received on the loan while on nonaccrual status as interest income on a cash basis. For multifamily loans, we account for interest income on a cost recovery basis and we apply any payment received while on nonaccrual status to reduce the amortized cost of the loan. Thus, we do not recognize any interest income on a multifamily loan placed on nonaccrual status until the amortized cost of the loan has been reduced to zero.</w:t>
      </w:r>
    </w:p>
    <w:p>
      <w:pPr>
        <w:spacing w:after="0" w:line="35"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A nonaccrual loan is returned to accrual status when the full collection of principal and interest is reasonably assured. We generally determine that the full collection of principal and interest is reasonably assured when the loan returns to current payment status. If a loan is restructured for a borrower experiencing financial difficulty, we require a performance period of up to 6 months before we return the loan to accrual status. Upon a loan’s return to accrual status, we resume the recognition of interest income on an accrual basis and the amortization of cost basis adjustments, if any, into interest income. If interest is capitalized pursuant to a restructuring, any capitalized interest that had not been previously recognized as interest income or that had been reversed through interest income when the loan was placed on nonaccrual status is recorded as a discount to the loan and amortized into interest income over the remaining contractual life of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358775</wp:posOffset>
            </wp:positionV>
            <wp:extent cx="680593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5" w:name="page86"/>
    <w:bookmarkEnd w:id="85"/>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accrued interest receivable written off through the reversal of interest income for nonaccrual loans.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7380" w:type="dxa"/>
            <w:vAlign w:val="bottom"/>
          </w:tcPr>
          <w:p>
            <w:pPr>
              <w:spacing w:after="0"/>
              <w:rPr>
                <w:sz w:val="18"/>
                <w:szCs w:val="18"/>
                <w:color w:val="auto"/>
              </w:rPr>
            </w:pPr>
          </w:p>
        </w:tc>
        <w:tc>
          <w:tcPr>
            <w:tcW w:w="3400" w:type="dxa"/>
            <w:vAlign w:val="bottom"/>
            <w:tcBorders>
              <w:bottom w:val="single" w:sz="8" w:color="2C6937"/>
            </w:tcBorders>
            <w:gridSpan w:val="4"/>
          </w:tcPr>
          <w:p>
            <w:pPr>
              <w:jc w:val="right"/>
              <w:ind w:right="23"/>
              <w:spacing w:after="0"/>
              <w:rPr>
                <w:sz w:val="20"/>
                <w:szCs w:val="20"/>
                <w:color w:val="auto"/>
              </w:rPr>
            </w:pPr>
            <w:r>
              <w:rPr>
                <w:rFonts w:ascii="Arial" w:cs="Arial" w:eastAsia="Arial" w:hAnsi="Arial"/>
                <w:sz w:val="15"/>
                <w:szCs w:val="15"/>
                <w:b w:val="1"/>
                <w:bCs w:val="1"/>
                <w:color w:val="auto"/>
              </w:rPr>
              <w:t>For the Three Months Ended June 30,</w:t>
            </w:r>
          </w:p>
        </w:tc>
        <w:tc>
          <w:tcPr>
            <w:tcW w:w="440" w:type="dxa"/>
            <w:vAlign w:val="bottom"/>
            <w:tcBorders>
              <w:bottom w:val="single" w:sz="8" w:color="2C6937"/>
            </w:tcBorders>
          </w:tcPr>
          <w:p>
            <w:pPr>
              <w:spacing w:after="0"/>
              <w:rPr>
                <w:sz w:val="18"/>
                <w:szCs w:val="18"/>
                <w:color w:val="auto"/>
              </w:rPr>
            </w:pPr>
          </w:p>
        </w:tc>
      </w:tr>
      <w:tr>
        <w:trPr>
          <w:trHeight w:val="199"/>
        </w:trPr>
        <w:tc>
          <w:tcPr>
            <w:tcW w:w="7380" w:type="dxa"/>
            <w:vAlign w:val="bottom"/>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2024</w:t>
            </w:r>
          </w:p>
        </w:tc>
        <w:tc>
          <w:tcPr>
            <w:tcW w:w="72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2023</w:t>
            </w:r>
          </w:p>
        </w:tc>
        <w:tc>
          <w:tcPr>
            <w:tcW w:w="440" w:type="dxa"/>
            <w:vAlign w:val="bottom"/>
            <w:tcBorders>
              <w:bottom w:val="single" w:sz="8" w:color="2C6937"/>
            </w:tcBorders>
          </w:tcPr>
          <w:p>
            <w:pPr>
              <w:spacing w:after="0"/>
              <w:rPr>
                <w:sz w:val="17"/>
                <w:szCs w:val="17"/>
                <w:color w:val="auto"/>
              </w:rPr>
            </w:pPr>
          </w:p>
        </w:tc>
      </w:tr>
      <w:tr>
        <w:trPr>
          <w:trHeight w:val="185"/>
        </w:trPr>
        <w:tc>
          <w:tcPr>
            <w:tcW w:w="7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40" w:type="dxa"/>
            <w:vAlign w:val="bottom"/>
            <w:gridSpan w:val="3"/>
          </w:tcPr>
          <w:p>
            <w:pPr>
              <w:jc w:val="right"/>
              <w:ind w:right="823"/>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16"/>
                <w:szCs w:val="16"/>
                <w:color w:val="auto"/>
              </w:rPr>
            </w:pPr>
          </w:p>
        </w:tc>
      </w:tr>
      <w:tr>
        <w:trPr>
          <w:trHeight w:val="232"/>
        </w:trPr>
        <w:tc>
          <w:tcPr>
            <w:tcW w:w="7380" w:type="dxa"/>
            <w:vAlign w:val="bottom"/>
          </w:tcPr>
          <w:p>
            <w:pPr>
              <w:spacing w:after="0"/>
              <w:rPr>
                <w:sz w:val="20"/>
                <w:szCs w:val="20"/>
                <w:color w:val="auto"/>
              </w:rPr>
            </w:pPr>
            <w:r>
              <w:rPr>
                <w:rFonts w:ascii="Arial" w:cs="Arial" w:eastAsia="Arial" w:hAnsi="Arial"/>
                <w:sz w:val="15"/>
                <w:szCs w:val="15"/>
                <w:color w:val="auto"/>
              </w:rPr>
              <w:t>Accrued interest receivable written off through the reversal of interest income:</w:t>
            </w: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53"/>
        </w:trPr>
        <w:tc>
          <w:tcPr>
            <w:tcW w:w="7380" w:type="dxa"/>
            <w:vAlign w:val="bottom"/>
          </w:tcPr>
          <w:p>
            <w:pPr>
              <w:ind w:left="160"/>
              <w:spacing w:after="0"/>
              <w:rPr>
                <w:sz w:val="20"/>
                <w:szCs w:val="20"/>
                <w:color w:val="auto"/>
              </w:rPr>
            </w:pPr>
            <w:r>
              <w:rPr>
                <w:rFonts w:ascii="Arial" w:cs="Arial" w:eastAsia="Arial" w:hAnsi="Arial"/>
                <w:sz w:val="15"/>
                <w:szCs w:val="15"/>
                <w:color w:val="auto"/>
              </w:rPr>
              <w:t>Single-family</w:t>
            </w:r>
          </w:p>
        </w:tc>
        <w:tc>
          <w:tcPr>
            <w:tcW w:w="1160" w:type="dxa"/>
            <w:vAlign w:val="bottom"/>
          </w:tcPr>
          <w:p>
            <w:pPr>
              <w:jc w:val="right"/>
              <w:ind w:right="983"/>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6"/>
              <w:spacing w:after="0"/>
              <w:rPr>
                <w:sz w:val="20"/>
                <w:szCs w:val="20"/>
                <w:color w:val="auto"/>
              </w:rPr>
            </w:pPr>
            <w:r>
              <w:rPr>
                <w:rFonts w:ascii="Arial" w:cs="Arial" w:eastAsia="Arial" w:hAnsi="Arial"/>
                <w:sz w:val="15"/>
                <w:szCs w:val="15"/>
                <w:b w:val="1"/>
                <w:bCs w:val="1"/>
                <w:color w:val="auto"/>
              </w:rPr>
              <w:t>97</w:t>
            </w:r>
          </w:p>
        </w:tc>
        <w:tc>
          <w:tcPr>
            <w:tcW w:w="80" w:type="dxa"/>
            <w:vAlign w:val="bottom"/>
          </w:tcPr>
          <w:p>
            <w:pPr>
              <w:spacing w:after="0"/>
              <w:rPr>
                <w:sz w:val="21"/>
                <w:szCs w:val="21"/>
                <w:color w:val="auto"/>
              </w:rPr>
            </w:pPr>
          </w:p>
        </w:tc>
        <w:tc>
          <w:tcPr>
            <w:tcW w:w="1440" w:type="dxa"/>
            <w:vAlign w:val="bottom"/>
          </w:tcPr>
          <w:p>
            <w:pPr>
              <w:jc w:val="right"/>
              <w:ind w:right="1263"/>
              <w:spacing w:after="0"/>
              <w:rPr>
                <w:sz w:val="20"/>
                <w:szCs w:val="20"/>
                <w:color w:val="auto"/>
              </w:rPr>
            </w:pPr>
            <w:r>
              <w:rPr>
                <w:rFonts w:ascii="Arial" w:cs="Arial" w:eastAsia="Arial" w:hAnsi="Arial"/>
                <w:sz w:val="15"/>
                <w:szCs w:val="15"/>
                <w:color w:val="auto"/>
                <w:w w:val="95"/>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32"/>
        </w:trPr>
        <w:tc>
          <w:tcPr>
            <w:tcW w:w="7380" w:type="dxa"/>
            <w:vAlign w:val="bottom"/>
          </w:tcPr>
          <w:p>
            <w:pPr>
              <w:ind w:left="160"/>
              <w:spacing w:after="0"/>
              <w:rPr>
                <w:sz w:val="20"/>
                <w:szCs w:val="20"/>
                <w:color w:val="auto"/>
              </w:rPr>
            </w:pPr>
            <w:r>
              <w:rPr>
                <w:rFonts w:ascii="Arial" w:cs="Arial" w:eastAsia="Arial" w:hAnsi="Arial"/>
                <w:sz w:val="15"/>
                <w:szCs w:val="15"/>
                <w:color w:val="auto"/>
              </w:rPr>
              <w:t>Multifamily</w:t>
            </w:r>
          </w:p>
        </w:tc>
        <w:tc>
          <w:tcPr>
            <w:tcW w:w="1160" w:type="dxa"/>
            <w:vAlign w:val="bottom"/>
          </w:tcPr>
          <w:p>
            <w:pPr>
              <w:spacing w:after="0"/>
              <w:rPr>
                <w:sz w:val="20"/>
                <w:szCs w:val="20"/>
                <w:color w:val="auto"/>
              </w:rPr>
            </w:pPr>
          </w:p>
        </w:tc>
        <w:tc>
          <w:tcPr>
            <w:tcW w:w="720" w:type="dxa"/>
            <w:vAlign w:val="bottom"/>
          </w:tcPr>
          <w:p>
            <w:pPr>
              <w:jc w:val="right"/>
              <w:ind w:right="6"/>
              <w:spacing w:after="0"/>
              <w:rPr>
                <w:sz w:val="20"/>
                <w:szCs w:val="20"/>
                <w:color w:val="auto"/>
              </w:rPr>
            </w:pPr>
            <w:r>
              <w:rPr>
                <w:rFonts w:ascii="Arial" w:cs="Arial" w:eastAsia="Arial" w:hAnsi="Arial"/>
                <w:sz w:val="15"/>
                <w:szCs w:val="15"/>
                <w:b w:val="1"/>
                <w:bCs w:val="1"/>
                <w:color w:val="auto"/>
              </w:rPr>
              <w:t>4</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419"/>
        </w:trPr>
        <w:tc>
          <w:tcPr>
            <w:tcW w:w="7380" w:type="dxa"/>
            <w:vAlign w:val="bottom"/>
          </w:tcPr>
          <w:p>
            <w:pPr>
              <w:spacing w:after="0"/>
              <w:rPr>
                <w:sz w:val="24"/>
                <w:szCs w:val="24"/>
                <w:color w:val="auto"/>
              </w:rPr>
            </w:pPr>
          </w:p>
        </w:tc>
        <w:tc>
          <w:tcPr>
            <w:tcW w:w="3400" w:type="dxa"/>
            <w:vAlign w:val="bottom"/>
            <w:tcBorders>
              <w:bottom w:val="single" w:sz="8" w:color="2C6937"/>
            </w:tcBorders>
            <w:gridSpan w:val="4"/>
          </w:tcPr>
          <w:p>
            <w:pPr>
              <w:jc w:val="right"/>
              <w:ind w:right="123"/>
              <w:spacing w:after="0"/>
              <w:rPr>
                <w:sz w:val="20"/>
                <w:szCs w:val="20"/>
                <w:color w:val="auto"/>
              </w:rPr>
            </w:pPr>
            <w:r>
              <w:rPr>
                <w:rFonts w:ascii="Arial" w:cs="Arial" w:eastAsia="Arial" w:hAnsi="Arial"/>
                <w:sz w:val="15"/>
                <w:szCs w:val="15"/>
                <w:b w:val="1"/>
                <w:bCs w:val="1"/>
                <w:color w:val="auto"/>
              </w:rPr>
              <w:t>For the Six Months Ended June 30,</w:t>
            </w:r>
          </w:p>
        </w:tc>
        <w:tc>
          <w:tcPr>
            <w:tcW w:w="440" w:type="dxa"/>
            <w:vAlign w:val="bottom"/>
            <w:tcBorders>
              <w:bottom w:val="single" w:sz="8" w:color="2C6937"/>
            </w:tcBorders>
          </w:tcPr>
          <w:p>
            <w:pPr>
              <w:spacing w:after="0"/>
              <w:rPr>
                <w:sz w:val="24"/>
                <w:szCs w:val="24"/>
                <w:color w:val="auto"/>
              </w:rPr>
            </w:pPr>
          </w:p>
        </w:tc>
      </w:tr>
      <w:tr>
        <w:trPr>
          <w:trHeight w:val="199"/>
        </w:trPr>
        <w:tc>
          <w:tcPr>
            <w:tcW w:w="7380" w:type="dxa"/>
            <w:vAlign w:val="bottom"/>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2024</w:t>
            </w:r>
          </w:p>
        </w:tc>
        <w:tc>
          <w:tcPr>
            <w:tcW w:w="72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2023</w:t>
            </w:r>
          </w:p>
        </w:tc>
        <w:tc>
          <w:tcPr>
            <w:tcW w:w="440" w:type="dxa"/>
            <w:vAlign w:val="bottom"/>
            <w:tcBorders>
              <w:bottom w:val="single" w:sz="8" w:color="2C6937"/>
            </w:tcBorders>
          </w:tcPr>
          <w:p>
            <w:pPr>
              <w:spacing w:after="0"/>
              <w:rPr>
                <w:sz w:val="17"/>
                <w:szCs w:val="17"/>
                <w:color w:val="auto"/>
              </w:rPr>
            </w:pPr>
          </w:p>
        </w:tc>
      </w:tr>
      <w:tr>
        <w:trPr>
          <w:trHeight w:val="185"/>
        </w:trPr>
        <w:tc>
          <w:tcPr>
            <w:tcW w:w="7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40" w:type="dxa"/>
            <w:vAlign w:val="bottom"/>
            <w:gridSpan w:val="3"/>
          </w:tcPr>
          <w:p>
            <w:pPr>
              <w:jc w:val="right"/>
              <w:ind w:right="823"/>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16"/>
                <w:szCs w:val="16"/>
                <w:color w:val="auto"/>
              </w:rPr>
            </w:pPr>
          </w:p>
        </w:tc>
      </w:tr>
      <w:tr>
        <w:trPr>
          <w:trHeight w:val="232"/>
        </w:trPr>
        <w:tc>
          <w:tcPr>
            <w:tcW w:w="7380" w:type="dxa"/>
            <w:vAlign w:val="bottom"/>
          </w:tcPr>
          <w:p>
            <w:pPr>
              <w:spacing w:after="0"/>
              <w:rPr>
                <w:sz w:val="20"/>
                <w:szCs w:val="20"/>
                <w:color w:val="auto"/>
              </w:rPr>
            </w:pPr>
            <w:r>
              <w:rPr>
                <w:rFonts w:ascii="Arial" w:cs="Arial" w:eastAsia="Arial" w:hAnsi="Arial"/>
                <w:sz w:val="15"/>
                <w:szCs w:val="15"/>
                <w:color w:val="auto"/>
              </w:rPr>
              <w:t>Accrued interest receivable written off through the reversal of interest income:</w:t>
            </w: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53"/>
        </w:trPr>
        <w:tc>
          <w:tcPr>
            <w:tcW w:w="7380" w:type="dxa"/>
            <w:vAlign w:val="bottom"/>
          </w:tcPr>
          <w:p>
            <w:pPr>
              <w:ind w:left="160"/>
              <w:spacing w:after="0"/>
              <w:rPr>
                <w:sz w:val="20"/>
                <w:szCs w:val="20"/>
                <w:color w:val="auto"/>
              </w:rPr>
            </w:pPr>
            <w:r>
              <w:rPr>
                <w:rFonts w:ascii="Arial" w:cs="Arial" w:eastAsia="Arial" w:hAnsi="Arial"/>
                <w:sz w:val="15"/>
                <w:szCs w:val="15"/>
                <w:color w:val="auto"/>
              </w:rPr>
              <w:t>Single-family</w:t>
            </w:r>
          </w:p>
        </w:tc>
        <w:tc>
          <w:tcPr>
            <w:tcW w:w="1160" w:type="dxa"/>
            <w:vAlign w:val="bottom"/>
          </w:tcPr>
          <w:p>
            <w:pPr>
              <w:jc w:val="right"/>
              <w:ind w:right="983"/>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6"/>
              <w:spacing w:after="0"/>
              <w:rPr>
                <w:sz w:val="20"/>
                <w:szCs w:val="20"/>
                <w:color w:val="auto"/>
              </w:rPr>
            </w:pPr>
            <w:r>
              <w:rPr>
                <w:rFonts w:ascii="Arial" w:cs="Arial" w:eastAsia="Arial" w:hAnsi="Arial"/>
                <w:sz w:val="15"/>
                <w:szCs w:val="15"/>
                <w:b w:val="1"/>
                <w:bCs w:val="1"/>
                <w:color w:val="auto"/>
              </w:rPr>
              <w:t>179</w:t>
            </w:r>
          </w:p>
        </w:tc>
        <w:tc>
          <w:tcPr>
            <w:tcW w:w="80" w:type="dxa"/>
            <w:vAlign w:val="bottom"/>
          </w:tcPr>
          <w:p>
            <w:pPr>
              <w:spacing w:after="0"/>
              <w:rPr>
                <w:sz w:val="21"/>
                <w:szCs w:val="21"/>
                <w:color w:val="auto"/>
              </w:rPr>
            </w:pPr>
          </w:p>
        </w:tc>
        <w:tc>
          <w:tcPr>
            <w:tcW w:w="1440" w:type="dxa"/>
            <w:vAlign w:val="bottom"/>
          </w:tcPr>
          <w:p>
            <w:pPr>
              <w:jc w:val="right"/>
              <w:ind w:right="1263"/>
              <w:spacing w:after="0"/>
              <w:rPr>
                <w:sz w:val="20"/>
                <w:szCs w:val="20"/>
                <w:color w:val="auto"/>
              </w:rPr>
            </w:pPr>
            <w:r>
              <w:rPr>
                <w:rFonts w:ascii="Arial" w:cs="Arial" w:eastAsia="Arial" w:hAnsi="Arial"/>
                <w:sz w:val="15"/>
                <w:szCs w:val="15"/>
                <w:color w:val="auto"/>
                <w:w w:val="95"/>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153</w:t>
            </w:r>
          </w:p>
        </w:tc>
      </w:tr>
      <w:tr>
        <w:trPr>
          <w:trHeight w:val="232"/>
        </w:trPr>
        <w:tc>
          <w:tcPr>
            <w:tcW w:w="7380" w:type="dxa"/>
            <w:vAlign w:val="bottom"/>
          </w:tcPr>
          <w:p>
            <w:pPr>
              <w:ind w:left="160"/>
              <w:spacing w:after="0"/>
              <w:rPr>
                <w:sz w:val="20"/>
                <w:szCs w:val="20"/>
                <w:color w:val="auto"/>
              </w:rPr>
            </w:pPr>
            <w:r>
              <w:rPr>
                <w:rFonts w:ascii="Arial" w:cs="Arial" w:eastAsia="Arial" w:hAnsi="Arial"/>
                <w:sz w:val="15"/>
                <w:szCs w:val="15"/>
                <w:color w:val="auto"/>
              </w:rPr>
              <w:t>Multifamily</w:t>
            </w:r>
          </w:p>
        </w:tc>
        <w:tc>
          <w:tcPr>
            <w:tcW w:w="1160" w:type="dxa"/>
            <w:vAlign w:val="bottom"/>
          </w:tcPr>
          <w:p>
            <w:pPr>
              <w:spacing w:after="0"/>
              <w:rPr>
                <w:sz w:val="20"/>
                <w:szCs w:val="20"/>
                <w:color w:val="auto"/>
              </w:rPr>
            </w:pPr>
          </w:p>
        </w:tc>
        <w:tc>
          <w:tcPr>
            <w:tcW w:w="720" w:type="dxa"/>
            <w:vAlign w:val="bottom"/>
          </w:tcPr>
          <w:p>
            <w:pPr>
              <w:jc w:val="right"/>
              <w:ind w:right="6"/>
              <w:spacing w:after="0"/>
              <w:rPr>
                <w:sz w:val="20"/>
                <w:szCs w:val="20"/>
                <w:color w:val="auto"/>
              </w:rPr>
            </w:pPr>
            <w:r>
              <w:rPr>
                <w:rFonts w:ascii="Arial" w:cs="Arial" w:eastAsia="Arial" w:hAnsi="Arial"/>
                <w:sz w:val="15"/>
                <w:szCs w:val="15"/>
                <w:b w:val="1"/>
                <w:bCs w:val="1"/>
                <w:color w:val="auto"/>
              </w:rPr>
              <w:t>6</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35</w:t>
            </w:r>
          </w:p>
        </w:tc>
      </w:tr>
    </w:tbl>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tables below include the amortized cost of and interest income recognized on our HFI single-family and multifamily loans on nonaccrual status by class, excluding loans for which we have elected the fair value option.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gridSpan w:val="3"/>
          </w:tcPr>
          <w:p>
            <w:pPr>
              <w:jc w:val="center"/>
              <w:ind w:right="220"/>
              <w:spacing w:after="0"/>
              <w:rPr>
                <w:sz w:val="20"/>
                <w:szCs w:val="20"/>
                <w:color w:val="auto"/>
              </w:rPr>
            </w:pPr>
            <w:r>
              <w:rPr>
                <w:rFonts w:ascii="Arial" w:cs="Arial" w:eastAsia="Arial" w:hAnsi="Arial"/>
                <w:sz w:val="14"/>
                <w:szCs w:val="14"/>
                <w:b w:val="1"/>
                <w:bCs w:val="1"/>
                <w:color w:val="auto"/>
                <w:w w:val="97"/>
              </w:rPr>
              <w:t>As of</w:t>
            </w:r>
          </w:p>
        </w:tc>
        <w:tc>
          <w:tcPr>
            <w:tcW w:w="40" w:type="dxa"/>
            <w:vAlign w:val="bottom"/>
            <w:tcBorders>
              <w:bottom w:val="single" w:sz="8" w:color="2C6937"/>
            </w:tcBorders>
          </w:tcPr>
          <w:p>
            <w:pPr>
              <w:spacing w:after="0"/>
              <w:rPr>
                <w:sz w:val="17"/>
                <w:szCs w:val="17"/>
                <w:color w:val="auto"/>
              </w:rPr>
            </w:pPr>
          </w:p>
        </w:tc>
        <w:tc>
          <w:tcPr>
            <w:tcW w:w="42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For the Three</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For the Six Months</w:t>
            </w:r>
          </w:p>
        </w:tc>
        <w:tc>
          <w:tcPr>
            <w:tcW w:w="0" w:type="dxa"/>
            <w:vAlign w:val="bottom"/>
          </w:tcPr>
          <w:p>
            <w:pPr>
              <w:spacing w:after="0"/>
              <w:rPr>
                <w:sz w:val="1"/>
                <w:szCs w:val="1"/>
                <w:color w:val="auto"/>
              </w:rPr>
            </w:pPr>
          </w:p>
        </w:tc>
      </w:tr>
      <w:tr>
        <w:trPr>
          <w:trHeight w:val="29"/>
        </w:trPr>
        <w:tc>
          <w:tcPr>
            <w:tcW w:w="4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4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June 30, 2024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8"/>
              </w:rPr>
              <w:t>March 31, 2024</w:t>
            </w:r>
          </w:p>
        </w:tc>
        <w:tc>
          <w:tcPr>
            <w:tcW w:w="40" w:type="dxa"/>
            <w:vAlign w:val="bottom"/>
          </w:tcPr>
          <w:p>
            <w:pPr>
              <w:spacing w:after="0"/>
              <w:rPr>
                <w:sz w:val="12"/>
                <w:szCs w:val="12"/>
                <w:color w:val="auto"/>
              </w:rPr>
            </w:pPr>
          </w:p>
        </w:tc>
        <w:tc>
          <w:tcPr>
            <w:tcW w:w="1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Pr>
          <w:p>
            <w:pPr>
              <w:spacing w:after="0"/>
              <w:rPr>
                <w:sz w:val="12"/>
                <w:szCs w:val="12"/>
                <w:color w:val="auto"/>
              </w:rPr>
            </w:pPr>
          </w:p>
        </w:tc>
        <w:tc>
          <w:tcPr>
            <w:tcW w:w="126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Months Ended</w:t>
            </w:r>
          </w:p>
        </w:tc>
        <w:tc>
          <w:tcPr>
            <w:tcW w:w="140" w:type="dxa"/>
            <w:vAlign w:val="bottom"/>
          </w:tcPr>
          <w:p>
            <w:pPr>
              <w:spacing w:after="0"/>
              <w:rPr>
                <w:sz w:val="12"/>
                <w:szCs w:val="12"/>
                <w:color w:val="auto"/>
              </w:rPr>
            </w:pPr>
          </w:p>
        </w:tc>
        <w:tc>
          <w:tcPr>
            <w:tcW w:w="1180" w:type="dxa"/>
            <w:vAlign w:val="bottom"/>
          </w:tcPr>
          <w:p>
            <w:pPr>
              <w:jc w:val="center"/>
              <w:ind w:right="45"/>
              <w:spacing w:after="0" w:line="139" w:lineRule="exact"/>
              <w:rPr>
                <w:sz w:val="20"/>
                <w:szCs w:val="20"/>
                <w:color w:val="auto"/>
              </w:rPr>
            </w:pPr>
            <w:r>
              <w:rPr>
                <w:rFonts w:ascii="Arial" w:cs="Arial" w:eastAsia="Arial" w:hAnsi="Arial"/>
                <w:sz w:val="14"/>
                <w:szCs w:val="14"/>
                <w:b w:val="1"/>
                <w:bCs w:val="1"/>
                <w:color w:val="auto"/>
                <w:w w:val="99"/>
              </w:rPr>
              <w:t>Ended June 30,</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2024</w:t>
            </w:r>
          </w:p>
        </w:tc>
        <w:tc>
          <w:tcPr>
            <w:tcW w:w="140" w:type="dxa"/>
            <w:vAlign w:val="bottom"/>
          </w:tcPr>
          <w:p>
            <w:pPr>
              <w:spacing w:after="0"/>
              <w:rPr>
                <w:sz w:val="15"/>
                <w:szCs w:val="15"/>
                <w:color w:val="auto"/>
              </w:rPr>
            </w:pPr>
          </w:p>
        </w:tc>
        <w:tc>
          <w:tcPr>
            <w:tcW w:w="1180" w:type="dxa"/>
            <w:vAlign w:val="bottom"/>
          </w:tcPr>
          <w:p>
            <w:pPr>
              <w:jc w:val="center"/>
              <w:ind w:right="45"/>
              <w:spacing w:after="0"/>
              <w:rPr>
                <w:sz w:val="20"/>
                <w:szCs w:val="20"/>
                <w:color w:val="auto"/>
              </w:rPr>
            </w:pPr>
            <w:r>
              <w:rPr>
                <w:rFonts w:ascii="Arial" w:cs="Arial" w:eastAsia="Arial" w:hAnsi="Arial"/>
                <w:sz w:val="14"/>
                <w:szCs w:val="14"/>
                <w:b w:val="1"/>
                <w:bCs w:val="1"/>
                <w:color w:val="auto"/>
                <w:w w:val="96"/>
              </w:rPr>
              <w:t>2024</w:t>
            </w:r>
          </w:p>
        </w:tc>
        <w:tc>
          <w:tcPr>
            <w:tcW w:w="0" w:type="dxa"/>
            <w:vAlign w:val="bottom"/>
          </w:tcPr>
          <w:p>
            <w:pPr>
              <w:spacing w:after="0"/>
              <w:rPr>
                <w:sz w:val="1"/>
                <w:szCs w:val="1"/>
                <w:color w:val="auto"/>
              </w:rPr>
            </w:pPr>
          </w:p>
        </w:tc>
      </w:tr>
      <w:tr>
        <w:trPr>
          <w:trHeight w:val="289"/>
        </w:trPr>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2C6937"/>
              <w:bottom w:val="single" w:sz="8" w:color="2C6937"/>
            </w:tcBorders>
          </w:tcPr>
          <w:p>
            <w:pPr>
              <w:spacing w:after="0"/>
              <w:rPr>
                <w:sz w:val="24"/>
                <w:szCs w:val="24"/>
                <w:color w:val="auto"/>
              </w:rPr>
            </w:pPr>
          </w:p>
        </w:tc>
        <w:tc>
          <w:tcPr>
            <w:tcW w:w="120" w:type="dxa"/>
            <w:vAlign w:val="bottom"/>
            <w:tcBorders>
              <w:top w:val="single" w:sz="8" w:color="2C6937"/>
              <w:bottom w:val="single" w:sz="8" w:color="2C6937"/>
            </w:tcBorders>
          </w:tcPr>
          <w:p>
            <w:pPr>
              <w:spacing w:after="0"/>
              <w:rPr>
                <w:sz w:val="24"/>
                <w:szCs w:val="24"/>
                <w:color w:val="auto"/>
              </w:rPr>
            </w:pPr>
          </w:p>
        </w:tc>
        <w:tc>
          <w:tcPr>
            <w:tcW w:w="1120" w:type="dxa"/>
            <w:vAlign w:val="bottom"/>
            <w:tcBorders>
              <w:top w:val="single" w:sz="8" w:color="2C6937"/>
              <w:bottom w:val="single" w:sz="8" w:color="2C6937"/>
            </w:tcBorders>
          </w:tcPr>
          <w:p>
            <w:pPr>
              <w:spacing w:after="0"/>
              <w:rPr>
                <w:sz w:val="24"/>
                <w:szCs w:val="24"/>
                <w:color w:val="auto"/>
              </w:rPr>
            </w:pPr>
          </w:p>
        </w:tc>
        <w:tc>
          <w:tcPr>
            <w:tcW w:w="20" w:type="dxa"/>
            <w:vAlign w:val="bottom"/>
            <w:tcBorders>
              <w:top w:val="single" w:sz="8" w:color="2C6937"/>
              <w:bottom w:val="single" w:sz="8" w:color="2C6937"/>
            </w:tcBorders>
          </w:tcPr>
          <w:p>
            <w:pPr>
              <w:spacing w:after="0"/>
              <w:rPr>
                <w:sz w:val="24"/>
                <w:szCs w:val="24"/>
                <w:color w:val="auto"/>
              </w:rPr>
            </w:pPr>
          </w:p>
        </w:tc>
        <w:tc>
          <w:tcPr>
            <w:tcW w:w="80" w:type="dxa"/>
            <w:vAlign w:val="bottom"/>
            <w:tcBorders>
              <w:top w:val="single" w:sz="8" w:color="2C6937"/>
              <w:bottom w:val="single" w:sz="8" w:color="2C6937"/>
            </w:tcBorders>
          </w:tcPr>
          <w:p>
            <w:pPr>
              <w:spacing w:after="0"/>
              <w:rPr>
                <w:sz w:val="24"/>
                <w:szCs w:val="24"/>
                <w:color w:val="auto"/>
              </w:rPr>
            </w:pPr>
          </w:p>
        </w:tc>
        <w:tc>
          <w:tcPr>
            <w:tcW w:w="40" w:type="dxa"/>
            <w:vAlign w:val="bottom"/>
            <w:tcBorders>
              <w:top w:val="single" w:sz="8" w:color="2C6937"/>
              <w:bottom w:val="single" w:sz="8" w:color="2C6937"/>
            </w:tcBorders>
          </w:tcPr>
          <w:p>
            <w:pPr>
              <w:spacing w:after="0"/>
              <w:rPr>
                <w:sz w:val="24"/>
                <w:szCs w:val="24"/>
                <w:color w:val="auto"/>
              </w:rPr>
            </w:pPr>
          </w:p>
        </w:tc>
        <w:tc>
          <w:tcPr>
            <w:tcW w:w="1340" w:type="dxa"/>
            <w:vAlign w:val="bottom"/>
            <w:tcBorders>
              <w:top w:val="single" w:sz="8" w:color="2C6937"/>
              <w:bottom w:val="single" w:sz="8" w:color="2C6937"/>
            </w:tcBorders>
            <w:gridSpan w:val="4"/>
          </w:tcPr>
          <w:p>
            <w:pPr>
              <w:jc w:val="center"/>
              <w:ind w:right="120"/>
              <w:spacing w:after="0"/>
              <w:rPr>
                <w:sz w:val="20"/>
                <w:szCs w:val="20"/>
                <w:color w:val="auto"/>
              </w:rPr>
            </w:pPr>
            <w:r>
              <w:rPr>
                <w:rFonts w:ascii="Arial" w:cs="Arial" w:eastAsia="Arial" w:hAnsi="Arial"/>
                <w:sz w:val="14"/>
                <w:szCs w:val="14"/>
                <w:b w:val="1"/>
                <w:bCs w:val="1"/>
                <w:color w:val="auto"/>
                <w:w w:val="97"/>
              </w:rPr>
              <w:t>Amortized Cost</w:t>
            </w:r>
            <w:r>
              <w:rPr>
                <w:rFonts w:ascii="Arial" w:cs="Arial" w:eastAsia="Arial" w:hAnsi="Arial"/>
                <w:sz w:val="17"/>
                <w:szCs w:val="17"/>
                <w:b w:val="1"/>
                <w:bCs w:val="1"/>
                <w:color w:val="auto"/>
                <w:w w:val="97"/>
                <w:vertAlign w:val="superscript"/>
              </w:rPr>
              <w:t>(1)</w:t>
            </w:r>
          </w:p>
        </w:tc>
        <w:tc>
          <w:tcPr>
            <w:tcW w:w="40" w:type="dxa"/>
            <w:vAlign w:val="bottom"/>
            <w:tcBorders>
              <w:top w:val="single" w:sz="8" w:color="2C6937"/>
              <w:bottom w:val="single" w:sz="8" w:color="2C6937"/>
            </w:tcBorders>
          </w:tcPr>
          <w:p>
            <w:pPr>
              <w:spacing w:after="0"/>
              <w:rPr>
                <w:sz w:val="24"/>
                <w:szCs w:val="24"/>
                <w:color w:val="auto"/>
              </w:rPr>
            </w:pPr>
          </w:p>
        </w:tc>
        <w:tc>
          <w:tcPr>
            <w:tcW w:w="420" w:type="dxa"/>
            <w:vAlign w:val="bottom"/>
            <w:tcBorders>
              <w:top w:val="single" w:sz="8" w:color="2C6937"/>
              <w:bottom w:val="single" w:sz="8" w:color="2C6937"/>
            </w:tcBorders>
          </w:tcPr>
          <w:p>
            <w:pPr>
              <w:spacing w:after="0"/>
              <w:rPr>
                <w:sz w:val="24"/>
                <w:szCs w:val="24"/>
                <w:color w:val="auto"/>
              </w:rPr>
            </w:pPr>
          </w:p>
        </w:tc>
        <w:tc>
          <w:tcPr>
            <w:tcW w:w="840" w:type="dxa"/>
            <w:vAlign w:val="bottom"/>
            <w:tcBorders>
              <w:top w:val="single" w:sz="8" w:color="2C6937"/>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0" w:type="dxa"/>
            <w:vAlign w:val="bottom"/>
            <w:tcBorders>
              <w:top w:val="single" w:sz="8" w:color="2C6937"/>
              <w:bottom w:val="single" w:sz="8" w:color="2C6937"/>
            </w:tcBorders>
          </w:tcPr>
          <w:p>
            <w:pPr>
              <w:spacing w:after="0"/>
              <w:rPr>
                <w:sz w:val="24"/>
                <w:szCs w:val="24"/>
                <w:color w:val="auto"/>
              </w:rPr>
            </w:pPr>
          </w:p>
        </w:tc>
        <w:tc>
          <w:tcPr>
            <w:tcW w:w="2580" w:type="dxa"/>
            <w:vAlign w:val="bottom"/>
            <w:tcBorders>
              <w:top w:val="single" w:sz="8" w:color="2C6937"/>
              <w:bottom w:val="single" w:sz="8" w:color="2C6937"/>
            </w:tcBorders>
            <w:gridSpan w:val="5"/>
          </w:tcPr>
          <w:p>
            <w:pPr>
              <w:ind w:left="80"/>
              <w:spacing w:after="0"/>
              <w:rPr>
                <w:sz w:val="20"/>
                <w:szCs w:val="20"/>
                <w:color w:val="auto"/>
              </w:rPr>
            </w:pPr>
            <w:r>
              <w:rPr>
                <w:rFonts w:ascii="Arial" w:cs="Arial" w:eastAsia="Arial" w:hAnsi="Arial"/>
                <w:sz w:val="14"/>
                <w:szCs w:val="14"/>
                <w:b w:val="1"/>
                <w:bCs w:val="1"/>
                <w:color w:val="auto"/>
              </w:rPr>
              <w:t>Total Interest Income Recognized</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75"/>
        </w:trPr>
        <w:tc>
          <w:tcPr>
            <w:tcW w:w="4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4340" w:type="dxa"/>
            <w:vAlign w:val="bottom"/>
            <w:gridSpan w:val="3"/>
          </w:tcPr>
          <w:p>
            <w:pPr>
              <w:ind w:left="20"/>
              <w:spacing w:after="0"/>
              <w:rPr>
                <w:sz w:val="20"/>
                <w:szCs w:val="20"/>
                <w:color w:val="auto"/>
              </w:rPr>
            </w:pPr>
            <w:r>
              <w:rPr>
                <w:rFonts w:ascii="Arial" w:cs="Arial" w:eastAsia="Arial" w:hAnsi="Arial"/>
                <w:sz w:val="15"/>
                <w:szCs w:val="15"/>
                <w:color w:val="auto"/>
              </w:rPr>
              <w:t>Single-family:</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340" w:type="dxa"/>
            <w:vAlign w:val="bottom"/>
            <w:gridSpan w:val="3"/>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b w:val="1"/>
                <w:bCs w:val="1"/>
                <w:color w:val="auto"/>
              </w:rPr>
              <w:t>22,183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22,712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right"/>
              <w:ind w:right="291"/>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21,971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124</w:t>
            </w:r>
          </w:p>
        </w:tc>
        <w:tc>
          <w:tcPr>
            <w:tcW w:w="0" w:type="dxa"/>
            <w:vAlign w:val="bottom"/>
          </w:tcPr>
          <w:p>
            <w:pPr>
              <w:spacing w:after="0"/>
              <w:rPr>
                <w:sz w:val="1"/>
                <w:szCs w:val="1"/>
                <w:color w:val="auto"/>
              </w:rPr>
            </w:pPr>
          </w:p>
        </w:tc>
      </w:tr>
      <w:tr>
        <w:trPr>
          <w:trHeight w:val="309"/>
        </w:trPr>
        <w:tc>
          <w:tcPr>
            <w:tcW w:w="4340" w:type="dxa"/>
            <w:vAlign w:val="bottom"/>
            <w:gridSpan w:val="3"/>
          </w:tcPr>
          <w:p>
            <w:pPr>
              <w:ind w:left="180"/>
              <w:spacing w:after="0"/>
              <w:rPr>
                <w:sz w:val="20"/>
                <w:szCs w:val="20"/>
                <w:color w:val="auto"/>
              </w:rPr>
            </w:pPr>
            <w:r>
              <w:rPr>
                <w:rFonts w:ascii="Arial" w:cs="Arial" w:eastAsia="Arial" w:hAnsi="Arial"/>
                <w:sz w:val="15"/>
                <w:szCs w:val="15"/>
                <w:color w:val="auto"/>
              </w:rPr>
              <w:t>15-year or less, amortizing fixed-rate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b w:val="1"/>
                <w:bCs w:val="1"/>
                <w:color w:val="auto"/>
              </w:rPr>
              <w:t>704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734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309"/>
        </w:trPr>
        <w:tc>
          <w:tcPr>
            <w:tcW w:w="4340" w:type="dxa"/>
            <w:vAlign w:val="bottom"/>
            <w:gridSpan w:val="3"/>
          </w:tcPr>
          <w:p>
            <w:pPr>
              <w:ind w:left="180"/>
              <w:spacing w:after="0"/>
              <w:rPr>
                <w:sz w:val="20"/>
                <w:szCs w:val="20"/>
                <w:color w:val="auto"/>
              </w:rPr>
            </w:pPr>
            <w:r>
              <w:rPr>
                <w:rFonts w:ascii="Arial" w:cs="Arial" w:eastAsia="Arial" w:hAnsi="Arial"/>
                <w:sz w:val="15"/>
                <w:szCs w:val="15"/>
                <w:color w:val="auto"/>
              </w:rPr>
              <w:t>Adjustable-rate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b w:val="1"/>
                <w:bCs w:val="1"/>
                <w:color w:val="auto"/>
              </w:rPr>
              <w:t>117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115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303"/>
        </w:trPr>
        <w:tc>
          <w:tcPr>
            <w:tcW w:w="42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gridSpan w:val="2"/>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496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480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508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309"/>
        </w:trPr>
        <w:tc>
          <w:tcPr>
            <w:tcW w:w="4340" w:type="dxa"/>
            <w:vAlign w:val="bottom"/>
            <w:gridSpan w:val="3"/>
          </w:tcPr>
          <w:p>
            <w:pPr>
              <w:ind w:left="20"/>
              <w:spacing w:after="0"/>
              <w:rPr>
                <w:sz w:val="20"/>
                <w:szCs w:val="20"/>
                <w:color w:val="auto"/>
              </w:rPr>
            </w:pPr>
            <w:r>
              <w:rPr>
                <w:rFonts w:ascii="Arial" w:cs="Arial" w:eastAsia="Arial" w:hAnsi="Arial"/>
                <w:sz w:val="15"/>
                <w:szCs w:val="15"/>
                <w:color w:val="auto"/>
              </w:rPr>
              <w:t>Total single-family</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b w:val="1"/>
                <w:bCs w:val="1"/>
                <w:color w:val="auto"/>
              </w:rPr>
              <w:t>23,500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24,041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23,315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132</w:t>
            </w:r>
          </w:p>
        </w:tc>
        <w:tc>
          <w:tcPr>
            <w:tcW w:w="0" w:type="dxa"/>
            <w:vAlign w:val="bottom"/>
          </w:tcPr>
          <w:p>
            <w:pPr>
              <w:spacing w:after="0"/>
              <w:rPr>
                <w:sz w:val="1"/>
                <w:szCs w:val="1"/>
                <w:color w:val="auto"/>
              </w:rPr>
            </w:pPr>
          </w:p>
        </w:tc>
      </w:tr>
      <w:tr>
        <w:trPr>
          <w:trHeight w:val="303"/>
        </w:trPr>
        <w:tc>
          <w:tcPr>
            <w:tcW w:w="42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gridSpan w:val="2"/>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1,836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1,812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1,890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26</w:t>
            </w:r>
          </w:p>
        </w:tc>
        <w:tc>
          <w:tcPr>
            <w:tcW w:w="0" w:type="dxa"/>
            <w:vAlign w:val="bottom"/>
          </w:tcPr>
          <w:p>
            <w:pPr>
              <w:spacing w:after="0"/>
              <w:rPr>
                <w:sz w:val="1"/>
                <w:szCs w:val="1"/>
                <w:color w:val="auto"/>
              </w:rPr>
            </w:pPr>
          </w:p>
        </w:tc>
      </w:tr>
      <w:tr>
        <w:trPr>
          <w:trHeight w:val="302"/>
        </w:trPr>
        <w:tc>
          <w:tcPr>
            <w:tcW w:w="4340" w:type="dxa"/>
            <w:vAlign w:val="bottom"/>
            <w:gridSpan w:val="3"/>
          </w:tcPr>
          <w:p>
            <w:pPr>
              <w:ind w:left="260"/>
              <w:spacing w:after="0"/>
              <w:rPr>
                <w:sz w:val="20"/>
                <w:szCs w:val="20"/>
                <w:color w:val="auto"/>
              </w:rPr>
            </w:pPr>
            <w:r>
              <w:rPr>
                <w:rFonts w:ascii="Arial" w:cs="Arial" w:eastAsia="Arial" w:hAnsi="Arial"/>
                <w:sz w:val="15"/>
                <w:szCs w:val="15"/>
                <w:color w:val="auto"/>
              </w:rPr>
              <w:t>Total nonaccrual loans</w:t>
            </w:r>
          </w:p>
        </w:tc>
        <w:tc>
          <w:tcPr>
            <w:tcW w:w="1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b w:val="1"/>
                <w:bCs w:val="1"/>
                <w:color w:val="auto"/>
              </w:rPr>
              <w:t>25,336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25,853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right"/>
              <w:ind w:right="291"/>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25,205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72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158</w:t>
            </w:r>
          </w:p>
        </w:tc>
        <w:tc>
          <w:tcPr>
            <w:tcW w:w="0" w:type="dxa"/>
            <w:vAlign w:val="bottom"/>
          </w:tcPr>
          <w:p>
            <w:pPr>
              <w:spacing w:after="0"/>
              <w:rPr>
                <w:sz w:val="1"/>
                <w:szCs w:val="1"/>
                <w:color w:val="auto"/>
              </w:rPr>
            </w:pPr>
          </w:p>
        </w:tc>
      </w:tr>
      <w:tr>
        <w:trPr>
          <w:trHeight w:val="20"/>
        </w:trPr>
        <w:tc>
          <w:tcPr>
            <w:tcW w:w="42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240" w:type="dxa"/>
            <w:vAlign w:val="bottom"/>
            <w:tcBorders>
              <w:bottom w:val="single" w:sz="8" w:color="2C6937"/>
            </w:tcBorders>
            <w:gridSpan w:val="3"/>
          </w:tcPr>
          <w:p>
            <w:pPr>
              <w:jc w:val="center"/>
              <w:ind w:right="180"/>
              <w:spacing w:after="0"/>
              <w:rPr>
                <w:sz w:val="20"/>
                <w:szCs w:val="20"/>
                <w:color w:val="auto"/>
              </w:rPr>
            </w:pPr>
            <w:r>
              <w:rPr>
                <w:rFonts w:ascii="Arial" w:cs="Arial" w:eastAsia="Arial" w:hAnsi="Arial"/>
                <w:sz w:val="14"/>
                <w:szCs w:val="14"/>
                <w:b w:val="1"/>
                <w:bCs w:val="1"/>
                <w:color w:val="auto"/>
                <w:w w:val="97"/>
              </w:rPr>
              <w:t>As of</w:t>
            </w:r>
          </w:p>
        </w:tc>
        <w:tc>
          <w:tcPr>
            <w:tcW w:w="40" w:type="dxa"/>
            <w:vAlign w:val="bottom"/>
            <w:tcBorders>
              <w:bottom w:val="single" w:sz="8" w:color="2C6937"/>
            </w:tcBorders>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For the Three</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For the Six Months</w:t>
            </w: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4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June 30, 2023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8"/>
              </w:rPr>
              <w:t>March 31, 2023</w:t>
            </w:r>
          </w:p>
        </w:tc>
        <w:tc>
          <w:tcPr>
            <w:tcW w:w="40" w:type="dxa"/>
            <w:vAlign w:val="bottom"/>
          </w:tcPr>
          <w:p>
            <w:pPr>
              <w:spacing w:after="0"/>
              <w:rPr>
                <w:sz w:val="11"/>
                <w:szCs w:val="11"/>
                <w:color w:val="auto"/>
              </w:rPr>
            </w:pPr>
          </w:p>
        </w:tc>
        <w:tc>
          <w:tcPr>
            <w:tcW w:w="13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1"/>
                <w:szCs w:val="11"/>
                <w:color w:val="auto"/>
              </w:rPr>
            </w:pPr>
          </w:p>
        </w:tc>
        <w:tc>
          <w:tcPr>
            <w:tcW w:w="126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Months Ended</w:t>
            </w:r>
          </w:p>
        </w:tc>
        <w:tc>
          <w:tcPr>
            <w:tcW w:w="140" w:type="dxa"/>
            <w:vAlign w:val="bottom"/>
          </w:tcPr>
          <w:p>
            <w:pPr>
              <w:spacing w:after="0"/>
              <w:rPr>
                <w:sz w:val="11"/>
                <w:szCs w:val="11"/>
                <w:color w:val="auto"/>
              </w:rPr>
            </w:pPr>
          </w:p>
        </w:tc>
        <w:tc>
          <w:tcPr>
            <w:tcW w:w="1180" w:type="dxa"/>
            <w:vAlign w:val="bottom"/>
          </w:tcPr>
          <w:p>
            <w:pPr>
              <w:jc w:val="center"/>
              <w:ind w:right="45"/>
              <w:spacing w:after="0" w:line="133" w:lineRule="exact"/>
              <w:rPr>
                <w:sz w:val="20"/>
                <w:szCs w:val="20"/>
                <w:color w:val="auto"/>
              </w:rPr>
            </w:pPr>
            <w:r>
              <w:rPr>
                <w:rFonts w:ascii="Arial" w:cs="Arial" w:eastAsia="Arial" w:hAnsi="Arial"/>
                <w:sz w:val="14"/>
                <w:szCs w:val="14"/>
                <w:b w:val="1"/>
                <w:bCs w:val="1"/>
                <w:color w:val="auto"/>
                <w:w w:val="99"/>
              </w:rPr>
              <w:t>Ended June 30,</w:t>
            </w: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6"/>
                <w:szCs w:val="16"/>
                <w:color w:val="auto"/>
              </w:rPr>
            </w:pPr>
          </w:p>
        </w:tc>
        <w:tc>
          <w:tcPr>
            <w:tcW w:w="1180" w:type="dxa"/>
            <w:vAlign w:val="bottom"/>
          </w:tcPr>
          <w:p>
            <w:pPr>
              <w:jc w:val="center"/>
              <w:ind w:right="45"/>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290"/>
        </w:trPr>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2C6937"/>
              <w:bottom w:val="single" w:sz="8" w:color="2C6937"/>
            </w:tcBorders>
          </w:tcPr>
          <w:p>
            <w:pPr>
              <w:spacing w:after="0"/>
              <w:rPr>
                <w:sz w:val="24"/>
                <w:szCs w:val="24"/>
                <w:color w:val="auto"/>
              </w:rPr>
            </w:pPr>
          </w:p>
        </w:tc>
        <w:tc>
          <w:tcPr>
            <w:tcW w:w="1120" w:type="dxa"/>
            <w:vAlign w:val="bottom"/>
            <w:tcBorders>
              <w:top w:val="single" w:sz="8" w:color="2C6937"/>
              <w:bottom w:val="single" w:sz="8" w:color="2C6937"/>
            </w:tcBorders>
          </w:tcPr>
          <w:p>
            <w:pPr>
              <w:spacing w:after="0"/>
              <w:rPr>
                <w:sz w:val="24"/>
                <w:szCs w:val="24"/>
                <w:color w:val="auto"/>
              </w:rPr>
            </w:pPr>
          </w:p>
        </w:tc>
        <w:tc>
          <w:tcPr>
            <w:tcW w:w="20" w:type="dxa"/>
            <w:vAlign w:val="bottom"/>
            <w:tcBorders>
              <w:top w:val="single" w:sz="8" w:color="2C6937"/>
              <w:bottom w:val="single" w:sz="8" w:color="2C6937"/>
            </w:tcBorders>
          </w:tcPr>
          <w:p>
            <w:pPr>
              <w:spacing w:after="0"/>
              <w:rPr>
                <w:sz w:val="24"/>
                <w:szCs w:val="24"/>
                <w:color w:val="auto"/>
              </w:rPr>
            </w:pPr>
          </w:p>
        </w:tc>
        <w:tc>
          <w:tcPr>
            <w:tcW w:w="80" w:type="dxa"/>
            <w:vAlign w:val="bottom"/>
            <w:tcBorders>
              <w:top w:val="single" w:sz="8" w:color="2C6937"/>
              <w:bottom w:val="single" w:sz="8" w:color="2C6937"/>
            </w:tcBorders>
          </w:tcPr>
          <w:p>
            <w:pPr>
              <w:spacing w:after="0"/>
              <w:rPr>
                <w:sz w:val="24"/>
                <w:szCs w:val="24"/>
                <w:color w:val="auto"/>
              </w:rPr>
            </w:pPr>
          </w:p>
        </w:tc>
        <w:tc>
          <w:tcPr>
            <w:tcW w:w="40" w:type="dxa"/>
            <w:vAlign w:val="bottom"/>
            <w:tcBorders>
              <w:top w:val="single" w:sz="8" w:color="2C6937"/>
              <w:bottom w:val="single" w:sz="8" w:color="2C6937"/>
            </w:tcBorders>
          </w:tcPr>
          <w:p>
            <w:pPr>
              <w:spacing w:after="0"/>
              <w:rPr>
                <w:sz w:val="24"/>
                <w:szCs w:val="24"/>
                <w:color w:val="auto"/>
              </w:rPr>
            </w:pPr>
          </w:p>
        </w:tc>
        <w:tc>
          <w:tcPr>
            <w:tcW w:w="1340" w:type="dxa"/>
            <w:vAlign w:val="bottom"/>
            <w:tcBorders>
              <w:top w:val="single" w:sz="8" w:color="2C6937"/>
              <w:bottom w:val="single" w:sz="8" w:color="2C6937"/>
            </w:tcBorders>
            <w:gridSpan w:val="4"/>
          </w:tcPr>
          <w:p>
            <w:pPr>
              <w:jc w:val="center"/>
              <w:ind w:right="60"/>
              <w:spacing w:after="0"/>
              <w:rPr>
                <w:sz w:val="20"/>
                <w:szCs w:val="20"/>
                <w:color w:val="auto"/>
              </w:rPr>
            </w:pPr>
            <w:r>
              <w:rPr>
                <w:rFonts w:ascii="Arial" w:cs="Arial" w:eastAsia="Arial" w:hAnsi="Arial"/>
                <w:sz w:val="14"/>
                <w:szCs w:val="14"/>
                <w:b w:val="1"/>
                <w:bCs w:val="1"/>
                <w:color w:val="auto"/>
                <w:w w:val="95"/>
              </w:rPr>
              <w:t>Amortized Cost</w:t>
            </w:r>
            <w:r>
              <w:rPr>
                <w:rFonts w:ascii="Arial" w:cs="Arial" w:eastAsia="Arial" w:hAnsi="Arial"/>
                <w:sz w:val="17"/>
                <w:szCs w:val="17"/>
                <w:b w:val="1"/>
                <w:bCs w:val="1"/>
                <w:color w:val="auto"/>
                <w:w w:val="95"/>
                <w:vertAlign w:val="superscript"/>
              </w:rPr>
              <w:t>(1)</w:t>
            </w:r>
          </w:p>
        </w:tc>
        <w:tc>
          <w:tcPr>
            <w:tcW w:w="40" w:type="dxa"/>
            <w:vAlign w:val="bottom"/>
            <w:tcBorders>
              <w:top w:val="single" w:sz="8" w:color="2C6937"/>
              <w:bottom w:val="single" w:sz="8" w:color="2C6937"/>
            </w:tcBorders>
          </w:tcPr>
          <w:p>
            <w:pPr>
              <w:spacing w:after="0"/>
              <w:rPr>
                <w:sz w:val="24"/>
                <w:szCs w:val="24"/>
                <w:color w:val="auto"/>
              </w:rPr>
            </w:pPr>
          </w:p>
        </w:tc>
        <w:tc>
          <w:tcPr>
            <w:tcW w:w="420" w:type="dxa"/>
            <w:vAlign w:val="bottom"/>
            <w:tcBorders>
              <w:top w:val="single" w:sz="8" w:color="2C6937"/>
              <w:bottom w:val="single" w:sz="8" w:color="2C6937"/>
            </w:tcBorders>
          </w:tcPr>
          <w:p>
            <w:pPr>
              <w:spacing w:after="0"/>
              <w:rPr>
                <w:sz w:val="24"/>
                <w:szCs w:val="24"/>
                <w:color w:val="auto"/>
              </w:rPr>
            </w:pPr>
          </w:p>
        </w:tc>
        <w:tc>
          <w:tcPr>
            <w:tcW w:w="840" w:type="dxa"/>
            <w:vAlign w:val="bottom"/>
            <w:tcBorders>
              <w:top w:val="single" w:sz="8" w:color="2C6937"/>
              <w:bottom w:val="single" w:sz="8" w:color="2C6937"/>
            </w:tcBorders>
          </w:tcPr>
          <w:p>
            <w:pPr>
              <w:spacing w:after="0"/>
              <w:rPr>
                <w:sz w:val="24"/>
                <w:szCs w:val="24"/>
                <w:color w:val="auto"/>
              </w:rPr>
            </w:pPr>
          </w:p>
        </w:tc>
        <w:tc>
          <w:tcPr>
            <w:tcW w:w="20" w:type="dxa"/>
            <w:vAlign w:val="bottom"/>
            <w:tcBorders>
              <w:top w:val="single" w:sz="8" w:color="2C6937"/>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0" w:type="dxa"/>
            <w:vAlign w:val="bottom"/>
            <w:tcBorders>
              <w:top w:val="single" w:sz="8" w:color="2C6937"/>
              <w:bottom w:val="single" w:sz="8" w:color="2C6937"/>
            </w:tcBorders>
          </w:tcPr>
          <w:p>
            <w:pPr>
              <w:spacing w:after="0"/>
              <w:rPr>
                <w:sz w:val="24"/>
                <w:szCs w:val="24"/>
                <w:color w:val="auto"/>
              </w:rPr>
            </w:pPr>
          </w:p>
        </w:tc>
        <w:tc>
          <w:tcPr>
            <w:tcW w:w="2580" w:type="dxa"/>
            <w:vAlign w:val="bottom"/>
            <w:tcBorders>
              <w:top w:val="single" w:sz="8" w:color="2C6937"/>
              <w:bottom w:val="single" w:sz="8" w:color="2C6937"/>
            </w:tcBorders>
            <w:gridSpan w:val="5"/>
          </w:tcPr>
          <w:p>
            <w:pPr>
              <w:ind w:left="80"/>
              <w:spacing w:after="0"/>
              <w:rPr>
                <w:sz w:val="20"/>
                <w:szCs w:val="20"/>
                <w:color w:val="auto"/>
              </w:rPr>
            </w:pPr>
            <w:r>
              <w:rPr>
                <w:rFonts w:ascii="Arial" w:cs="Arial" w:eastAsia="Arial" w:hAnsi="Arial"/>
                <w:sz w:val="14"/>
                <w:szCs w:val="14"/>
                <w:b w:val="1"/>
                <w:bCs w:val="1"/>
                <w:color w:val="auto"/>
              </w:rPr>
              <w:t>Total Interest Income Recognized</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75"/>
        </w:trPr>
        <w:tc>
          <w:tcPr>
            <w:tcW w:w="4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4340" w:type="dxa"/>
            <w:vAlign w:val="bottom"/>
            <w:gridSpan w:val="3"/>
          </w:tcPr>
          <w:p>
            <w:pPr>
              <w:ind w:left="20"/>
              <w:spacing w:after="0"/>
              <w:rPr>
                <w:sz w:val="20"/>
                <w:szCs w:val="20"/>
                <w:color w:val="auto"/>
              </w:rPr>
            </w:pPr>
            <w:r>
              <w:rPr>
                <w:rFonts w:ascii="Arial" w:cs="Arial" w:eastAsia="Arial" w:hAnsi="Arial"/>
                <w:sz w:val="15"/>
                <w:szCs w:val="15"/>
                <w:color w:val="auto"/>
              </w:rPr>
              <w:t>Single-family:</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340" w:type="dxa"/>
            <w:vAlign w:val="bottom"/>
            <w:gridSpan w:val="3"/>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17,051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14,172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9,447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309"/>
        </w:trPr>
        <w:tc>
          <w:tcPr>
            <w:tcW w:w="4340" w:type="dxa"/>
            <w:vAlign w:val="bottom"/>
            <w:gridSpan w:val="3"/>
          </w:tcPr>
          <w:p>
            <w:pPr>
              <w:ind w:left="180"/>
              <w:spacing w:after="0"/>
              <w:rPr>
                <w:sz w:val="20"/>
                <w:szCs w:val="20"/>
                <w:color w:val="auto"/>
              </w:rPr>
            </w:pPr>
            <w:r>
              <w:rPr>
                <w:rFonts w:ascii="Arial" w:cs="Arial" w:eastAsia="Arial" w:hAnsi="Arial"/>
                <w:sz w:val="15"/>
                <w:szCs w:val="15"/>
                <w:color w:val="auto"/>
              </w:rPr>
              <w:t>15-year or less, amortizing fixed-rate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565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429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09"/>
        </w:trPr>
        <w:tc>
          <w:tcPr>
            <w:tcW w:w="4340" w:type="dxa"/>
            <w:vAlign w:val="bottom"/>
            <w:gridSpan w:val="3"/>
          </w:tcPr>
          <w:p>
            <w:pPr>
              <w:ind w:left="180"/>
              <w:spacing w:after="0"/>
              <w:rPr>
                <w:sz w:val="20"/>
                <w:szCs w:val="20"/>
                <w:color w:val="auto"/>
              </w:rPr>
            </w:pPr>
            <w:r>
              <w:rPr>
                <w:rFonts w:ascii="Arial" w:cs="Arial" w:eastAsia="Arial" w:hAnsi="Arial"/>
                <w:sz w:val="15"/>
                <w:szCs w:val="15"/>
                <w:color w:val="auto"/>
              </w:rPr>
              <w:t>Adjustable-rate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0"/>
        </w:trPr>
        <w:tc>
          <w:tcPr>
            <w:tcW w:w="4280" w:type="dxa"/>
            <w:vAlign w:val="bottom"/>
            <w:tcBorders>
              <w:bottom w:val="single" w:sz="8" w:color="2C6937"/>
            </w:tcBorders>
            <w:gridSpan w:val="2"/>
          </w:tcPr>
          <w:p>
            <w:pPr>
              <w:ind w:left="180"/>
              <w:spacing w:after="0"/>
              <w:rPr>
                <w:sz w:val="20"/>
                <w:szCs w:val="20"/>
                <w:color w:val="auto"/>
              </w:rPr>
            </w:pPr>
            <w:r>
              <w:rPr>
                <w:rFonts w:ascii="Arial" w:cs="Arial" w:eastAsia="Arial" w:hAnsi="Arial"/>
                <w:sz w:val="15"/>
                <w:szCs w:val="15"/>
                <w:color w:val="auto"/>
              </w:rPr>
              <w:t>Other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573</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601</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617</w:t>
            </w:r>
          </w:p>
        </w:tc>
        <w:tc>
          <w:tcPr>
            <w:tcW w:w="2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02"/>
        </w:trPr>
        <w:tc>
          <w:tcPr>
            <w:tcW w:w="4340" w:type="dxa"/>
            <w:vAlign w:val="bottom"/>
            <w:gridSpan w:val="3"/>
          </w:tcPr>
          <w:p>
            <w:pPr>
              <w:ind w:left="20"/>
              <w:spacing w:after="0"/>
              <w:rPr>
                <w:sz w:val="20"/>
                <w:szCs w:val="20"/>
                <w:color w:val="auto"/>
              </w:rPr>
            </w:pPr>
            <w:r>
              <w:rPr>
                <w:rFonts w:ascii="Arial" w:cs="Arial" w:eastAsia="Arial" w:hAnsi="Arial"/>
                <w:sz w:val="15"/>
                <w:szCs w:val="15"/>
                <w:color w:val="auto"/>
              </w:rPr>
              <w:t>Total single-family</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18,274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15,277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10,317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310"/>
        </w:trPr>
        <w:tc>
          <w:tcPr>
            <w:tcW w:w="428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color w:val="auto"/>
              </w:rPr>
              <w:t>Multifamily</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1,448</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1,541</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2,200</w:t>
            </w:r>
          </w:p>
        </w:tc>
        <w:tc>
          <w:tcPr>
            <w:tcW w:w="2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302"/>
        </w:trPr>
        <w:tc>
          <w:tcPr>
            <w:tcW w:w="4340" w:type="dxa"/>
            <w:vAlign w:val="bottom"/>
            <w:gridSpan w:val="3"/>
          </w:tcPr>
          <w:p>
            <w:pPr>
              <w:ind w:left="260"/>
              <w:spacing w:after="0"/>
              <w:rPr>
                <w:sz w:val="20"/>
                <w:szCs w:val="20"/>
                <w:color w:val="auto"/>
              </w:rPr>
            </w:pPr>
            <w:r>
              <w:rPr>
                <w:rFonts w:ascii="Arial" w:cs="Arial" w:eastAsia="Arial" w:hAnsi="Arial"/>
                <w:sz w:val="15"/>
                <w:szCs w:val="15"/>
                <w:color w:val="auto"/>
              </w:rPr>
              <w:t>Total nonaccrual loans</w:t>
            </w: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19,722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16,818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12,517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20"/>
        </w:trPr>
        <w:tc>
          <w:tcPr>
            <w:tcW w:w="42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79"/>
        </w:numPr>
        <w:rPr>
          <w:rFonts w:ascii="Arial" w:cs="Arial" w:eastAsia="Arial" w:hAnsi="Arial"/>
          <w:sz w:val="9"/>
          <w:szCs w:val="9"/>
          <w:color w:val="auto"/>
        </w:rPr>
      </w:pPr>
      <w:r>
        <w:rPr>
          <w:rFonts w:ascii="Arial" w:cs="Arial" w:eastAsia="Arial" w:hAnsi="Arial"/>
          <w:sz w:val="14"/>
          <w:szCs w:val="14"/>
          <w:color w:val="auto"/>
        </w:rPr>
        <w:t>Amortized cost is presented net of any write-offs, which are recognized when a loan balance is deemed uncollectible.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377190</wp:posOffset>
            </wp:positionV>
            <wp:extent cx="680593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6" w:name="page87"/>
    <w:bookmarkEnd w:id="86"/>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80" w:hanging="237"/>
        <w:spacing w:after="0" w:line="226" w:lineRule="auto"/>
        <w:tabs>
          <w:tab w:leader="none" w:pos="233"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Interest income recognized includes amortization of any deferred cost basis adjustments while the loan is performing and that is not reversed when the loan is placed on nonaccrual status. For single-family, interest income recognized includes payments received on nonaccrual loans held as of period end.</w:t>
      </w:r>
    </w:p>
    <w:p>
      <w:pPr>
        <w:spacing w:after="0" w:line="148"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5. Allowance for Loan Losses</w:t>
      </w:r>
    </w:p>
    <w:p>
      <w:pPr>
        <w:spacing w:after="0" w:line="6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maintain an allowance for loan losses for HFI loans held by Fannie Mae and by consolidated Fannie Mae MBS trusts, excluding loans for which we have elected the fair value option. When calculating our allowance for loan losses, we consider the unpaid principal balance, net of unamortized premiums and discounts, and other cost basis adjustments of HFI loans at the balance sheet date. We record write-offs as a reduction to our allowance for loan losses at the point of foreclosure, completion of a short sale, upon the redesignation of nonperforming and reperforming loans from HFI to HFS or when a loan is determined to be uncollectible.</w:t>
      </w:r>
    </w:p>
    <w:p>
      <w:pPr>
        <w:spacing w:after="0" w:line="63"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following table displays changes in our allowance for single-family loans, multifamily loans and total allowance for loan losses. The benefit or provision for loan losses excludes provision for accrued interest receivable losses, guaranty loss reserves and credit losses on available-for-sale (“AFS”) debt securities. Cumulatively, these amounts are recognized as “Benefit (provision) for credit losses” in our condensed consolidated statements of operations and comprehensive income.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6"/>
          </w:tcPr>
          <w:p>
            <w:pPr>
              <w:ind w:left="480"/>
              <w:spacing w:after="0"/>
              <w:rPr>
                <w:sz w:val="20"/>
                <w:szCs w:val="20"/>
                <w:color w:val="auto"/>
              </w:rPr>
            </w:pPr>
            <w:r>
              <w:rPr>
                <w:rFonts w:ascii="Arial" w:cs="Arial" w:eastAsia="Arial" w:hAnsi="Arial"/>
                <w:sz w:val="15"/>
                <w:szCs w:val="15"/>
                <w:b w:val="1"/>
                <w:bCs w:val="1"/>
                <w:color w:val="auto"/>
              </w:rPr>
              <w:t>For the Three Months Ended June 30,</w:t>
            </w:r>
          </w:p>
        </w:tc>
        <w:tc>
          <w:tcPr>
            <w:tcW w:w="320" w:type="dxa"/>
            <w:vAlign w:val="bottom"/>
          </w:tcPr>
          <w:p>
            <w:pPr>
              <w:spacing w:after="0"/>
              <w:rPr>
                <w:sz w:val="18"/>
                <w:szCs w:val="18"/>
                <w:color w:val="auto"/>
              </w:rPr>
            </w:pPr>
          </w:p>
        </w:tc>
        <w:tc>
          <w:tcPr>
            <w:tcW w:w="3300" w:type="dxa"/>
            <w:vAlign w:val="bottom"/>
            <w:gridSpan w:val="4"/>
          </w:tcPr>
          <w:p>
            <w:pPr>
              <w:jc w:val="right"/>
              <w:ind w:right="443"/>
              <w:spacing w:after="0"/>
              <w:rPr>
                <w:sz w:val="20"/>
                <w:szCs w:val="20"/>
                <w:color w:val="auto"/>
              </w:rPr>
            </w:pPr>
            <w:r>
              <w:rPr>
                <w:rFonts w:ascii="Arial" w:cs="Arial" w:eastAsia="Arial" w:hAnsi="Arial"/>
                <w:sz w:val="15"/>
                <w:szCs w:val="15"/>
                <w:b w:val="1"/>
                <w:bCs w:val="1"/>
                <w:color w:val="auto"/>
              </w:rPr>
              <w:t>For the Six Months Ended June 30,</w:t>
            </w:r>
          </w:p>
        </w:tc>
      </w:tr>
      <w:tr>
        <w:trPr>
          <w:trHeight w:val="222"/>
        </w:trPr>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top w:val="single" w:sz="8" w:color="2C6937"/>
              <w:bottom w:val="single" w:sz="8" w:color="2C6937"/>
            </w:tcBorders>
          </w:tcPr>
          <w:p>
            <w:pPr>
              <w:jc w:val="right"/>
              <w:ind w:right="43"/>
              <w:spacing w:after="0"/>
              <w:rPr>
                <w:sz w:val="20"/>
                <w:szCs w:val="20"/>
                <w:color w:val="auto"/>
              </w:rPr>
            </w:pPr>
            <w:r>
              <w:rPr>
                <w:rFonts w:ascii="Arial" w:cs="Arial" w:eastAsia="Arial" w:hAnsi="Arial"/>
                <w:sz w:val="15"/>
                <w:szCs w:val="15"/>
                <w:b w:val="1"/>
                <w:bCs w:val="1"/>
                <w:color w:val="auto"/>
              </w:rPr>
              <w:t>2024</w:t>
            </w:r>
          </w:p>
        </w:tc>
        <w:tc>
          <w:tcPr>
            <w:tcW w:w="640" w:type="dxa"/>
            <w:vAlign w:val="bottom"/>
            <w:tcBorders>
              <w:top w:val="single" w:sz="8" w:color="2C6937"/>
              <w:bottom w:val="single" w:sz="8" w:color="2C6937"/>
            </w:tcBorders>
          </w:tcPr>
          <w:p>
            <w:pPr>
              <w:spacing w:after="0"/>
              <w:rPr>
                <w:sz w:val="19"/>
                <w:szCs w:val="19"/>
                <w:color w:val="auto"/>
              </w:rPr>
            </w:pPr>
          </w:p>
        </w:tc>
        <w:tc>
          <w:tcPr>
            <w:tcW w:w="100" w:type="dxa"/>
            <w:vAlign w:val="bottom"/>
            <w:tcBorders>
              <w:top w:val="single" w:sz="8" w:color="2C6937"/>
              <w:bottom w:val="single" w:sz="8" w:color="2C6937"/>
            </w:tcBorders>
          </w:tcPr>
          <w:p>
            <w:pPr>
              <w:spacing w:after="0"/>
              <w:rPr>
                <w:sz w:val="19"/>
                <w:szCs w:val="19"/>
                <w:color w:val="auto"/>
              </w:rPr>
            </w:pPr>
          </w:p>
        </w:tc>
        <w:tc>
          <w:tcPr>
            <w:tcW w:w="400" w:type="dxa"/>
            <w:vAlign w:val="bottom"/>
            <w:tcBorders>
              <w:top w:val="single" w:sz="8" w:color="2C6937"/>
              <w:bottom w:val="single" w:sz="8" w:color="2C6937"/>
            </w:tcBorders>
          </w:tcPr>
          <w:p>
            <w:pPr>
              <w:spacing w:after="0"/>
              <w:rPr>
                <w:sz w:val="19"/>
                <w:szCs w:val="19"/>
                <w:color w:val="auto"/>
              </w:rPr>
            </w:pPr>
          </w:p>
        </w:tc>
        <w:tc>
          <w:tcPr>
            <w:tcW w:w="1360" w:type="dxa"/>
            <w:vAlign w:val="bottom"/>
            <w:tcBorders>
              <w:top w:val="single" w:sz="8" w:color="2C6937"/>
              <w:bottom w:val="single" w:sz="8" w:color="2C6937"/>
            </w:tcBorders>
          </w:tcPr>
          <w:p>
            <w:pPr>
              <w:jc w:val="right"/>
              <w:ind w:right="643"/>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2C6937"/>
            </w:tcBorders>
          </w:tcPr>
          <w:p>
            <w:pPr>
              <w:spacing w:after="0"/>
              <w:rPr>
                <w:sz w:val="19"/>
                <w:szCs w:val="19"/>
                <w:color w:val="auto"/>
              </w:rPr>
            </w:pPr>
          </w:p>
        </w:tc>
        <w:tc>
          <w:tcPr>
            <w:tcW w:w="320" w:type="dxa"/>
            <w:vAlign w:val="bottom"/>
            <w:tcBorders>
              <w:top w:val="single" w:sz="8" w:color="2C6937"/>
              <w:bottom w:val="single" w:sz="8" w:color="2C6937"/>
            </w:tcBorders>
          </w:tcPr>
          <w:p>
            <w:pPr>
              <w:spacing w:after="0"/>
              <w:rPr>
                <w:sz w:val="19"/>
                <w:szCs w:val="19"/>
                <w:color w:val="auto"/>
              </w:rPr>
            </w:pPr>
          </w:p>
        </w:tc>
        <w:tc>
          <w:tcPr>
            <w:tcW w:w="1420" w:type="dxa"/>
            <w:vAlign w:val="bottom"/>
            <w:tcBorders>
              <w:top w:val="single" w:sz="8" w:color="2C6937"/>
              <w:bottom w:val="single" w:sz="8" w:color="2C6937"/>
            </w:tcBorders>
          </w:tcPr>
          <w:p>
            <w:pPr>
              <w:jc w:val="right"/>
              <w:ind w:right="62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2C6937"/>
              <w:bottom w:val="single" w:sz="8" w:color="2C6937"/>
            </w:tcBorders>
          </w:tcPr>
          <w:p>
            <w:pPr>
              <w:spacing w:after="0"/>
              <w:rPr>
                <w:sz w:val="19"/>
                <w:szCs w:val="19"/>
                <w:color w:val="auto"/>
              </w:rPr>
            </w:pPr>
          </w:p>
        </w:tc>
        <w:tc>
          <w:tcPr>
            <w:tcW w:w="400" w:type="dxa"/>
            <w:vAlign w:val="bottom"/>
            <w:tcBorders>
              <w:top w:val="single" w:sz="8" w:color="2C6937"/>
              <w:bottom w:val="single" w:sz="8" w:color="2C6937"/>
            </w:tcBorders>
          </w:tcPr>
          <w:p>
            <w:pPr>
              <w:spacing w:after="0"/>
              <w:rPr>
                <w:sz w:val="19"/>
                <w:szCs w:val="19"/>
                <w:color w:val="auto"/>
              </w:rPr>
            </w:pPr>
          </w:p>
        </w:tc>
        <w:tc>
          <w:tcPr>
            <w:tcW w:w="1380" w:type="dxa"/>
            <w:vAlign w:val="bottom"/>
            <w:tcBorders>
              <w:top w:val="single" w:sz="8" w:color="2C6937"/>
              <w:bottom w:val="single" w:sz="8" w:color="2C6937"/>
            </w:tcBorders>
          </w:tcPr>
          <w:p>
            <w:pPr>
              <w:jc w:val="right"/>
              <w:ind w:right="643"/>
              <w:spacing w:after="0"/>
              <w:rPr>
                <w:sz w:val="20"/>
                <w:szCs w:val="20"/>
                <w:color w:val="auto"/>
              </w:rPr>
            </w:pPr>
            <w:r>
              <w:rPr>
                <w:rFonts w:ascii="Arial" w:cs="Arial" w:eastAsia="Arial" w:hAnsi="Arial"/>
                <w:sz w:val="15"/>
                <w:szCs w:val="15"/>
                <w:b w:val="1"/>
                <w:bCs w:val="1"/>
                <w:color w:val="auto"/>
              </w:rPr>
              <w:t>2023</w:t>
            </w:r>
          </w:p>
        </w:tc>
      </w:tr>
      <w:tr>
        <w:trPr>
          <w:trHeight w:val="299"/>
        </w:trPr>
        <w:tc>
          <w:tcPr>
            <w:tcW w:w="3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80" w:type="dxa"/>
            <w:vAlign w:val="bottom"/>
            <w:gridSpan w:val="5"/>
          </w:tcPr>
          <w:p>
            <w:pPr>
              <w:ind w:left="620"/>
              <w:spacing w:after="0"/>
              <w:rPr>
                <w:sz w:val="20"/>
                <w:szCs w:val="20"/>
                <w:color w:val="auto"/>
              </w:rPr>
            </w:pPr>
            <w:r>
              <w:rPr>
                <w:rFonts w:ascii="Arial" w:cs="Arial" w:eastAsia="Arial" w:hAnsi="Arial"/>
                <w:sz w:val="15"/>
                <w:szCs w:val="15"/>
                <w:b w:val="1"/>
                <w:bCs w:val="1"/>
                <w:color w:val="auto"/>
              </w:rPr>
              <w:t>(Dollars in millions)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01"/>
        </w:trPr>
        <w:tc>
          <w:tcPr>
            <w:tcW w:w="3800" w:type="dxa"/>
            <w:vAlign w:val="bottom"/>
            <w:gridSpan w:val="2"/>
          </w:tcPr>
          <w:p>
            <w:pPr>
              <w:ind w:left="20"/>
              <w:spacing w:after="0"/>
              <w:rPr>
                <w:sz w:val="20"/>
                <w:szCs w:val="20"/>
                <w:color w:val="auto"/>
              </w:rPr>
            </w:pPr>
            <w:r>
              <w:rPr>
                <w:rFonts w:ascii="Arial" w:cs="Arial" w:eastAsia="Arial" w:hAnsi="Arial"/>
                <w:sz w:val="15"/>
                <w:szCs w:val="15"/>
                <w:color w:val="auto"/>
              </w:rPr>
              <w:t>Single-family allowance for loan losses:</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0"/>
        </w:trPr>
        <w:tc>
          <w:tcPr>
            <w:tcW w:w="380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240" w:type="dxa"/>
            <w:vAlign w:val="bottom"/>
          </w:tcPr>
          <w:p>
            <w:pPr>
              <w:jc w:val="right"/>
              <w:ind w:right="106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(6,275)</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(9,479)</w:t>
            </w:r>
          </w:p>
        </w:tc>
        <w:tc>
          <w:tcPr>
            <w:tcW w:w="8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(6,671)</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(9,443)</w:t>
            </w:r>
          </w:p>
        </w:tc>
      </w:tr>
      <w:tr>
        <w:trPr>
          <w:trHeight w:val="309"/>
        </w:trPr>
        <w:tc>
          <w:tcPr>
            <w:tcW w:w="3800" w:type="dxa"/>
            <w:vAlign w:val="bottom"/>
            <w:gridSpan w:val="2"/>
          </w:tcPr>
          <w:p>
            <w:pPr>
              <w:ind w:left="320"/>
              <w:spacing w:after="0"/>
              <w:rPr>
                <w:sz w:val="20"/>
                <w:szCs w:val="20"/>
                <w:color w:val="auto"/>
              </w:rPr>
            </w:pPr>
            <w:r>
              <w:rPr>
                <w:rFonts w:ascii="Arial" w:cs="Arial" w:eastAsia="Arial" w:hAnsi="Arial"/>
                <w:sz w:val="15"/>
                <w:szCs w:val="15"/>
                <w:color w:val="auto"/>
              </w:rPr>
              <w:t>Benefit (provision) for loan losses</w:t>
            </w:r>
          </w:p>
        </w:tc>
        <w:tc>
          <w:tcPr>
            <w:tcW w:w="1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530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1,399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869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1,403</w:t>
            </w:r>
          </w:p>
        </w:tc>
      </w:tr>
      <w:tr>
        <w:trPr>
          <w:trHeight w:val="309"/>
        </w:trPr>
        <w:tc>
          <w:tcPr>
            <w:tcW w:w="380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141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53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256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309"/>
        </w:trPr>
        <w:tc>
          <w:tcPr>
            <w:tcW w:w="3800" w:type="dxa"/>
            <w:vAlign w:val="bottom"/>
            <w:gridSpan w:val="2"/>
          </w:tcPr>
          <w:p>
            <w:pPr>
              <w:ind w:left="320"/>
              <w:spacing w:after="0"/>
              <w:rPr>
                <w:sz w:val="20"/>
                <w:szCs w:val="20"/>
                <w:color w:val="auto"/>
              </w:rPr>
            </w:pPr>
            <w:r>
              <w:rPr>
                <w:rFonts w:ascii="Arial" w:cs="Arial" w:eastAsia="Arial" w:hAnsi="Arial"/>
                <w:sz w:val="15"/>
                <w:szCs w:val="15"/>
                <w:color w:val="auto"/>
              </w:rPr>
              <w:t>Recoveries</w:t>
            </w:r>
          </w:p>
        </w:tc>
        <w:tc>
          <w:tcPr>
            <w:tcW w:w="1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(99)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(157)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(103)</w:t>
            </w:r>
          </w:p>
        </w:tc>
      </w:tr>
      <w:tr>
        <w:trPr>
          <w:trHeight w:val="303"/>
        </w:trPr>
        <w:tc>
          <w:tcPr>
            <w:tcW w:w="37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24"/>
                <w:szCs w:val="24"/>
                <w:color w:val="auto"/>
              </w:rPr>
            </w:pPr>
          </w:p>
        </w:tc>
        <w:tc>
          <w:tcPr>
            <w:tcW w:w="124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64</w:t>
            </w:r>
          </w:p>
        </w:tc>
        <w:tc>
          <w:tcPr>
            <w:tcW w:w="8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58</w:t>
            </w:r>
          </w:p>
        </w:tc>
      </w:tr>
      <w:tr>
        <w:trPr>
          <w:trHeight w:val="295"/>
        </w:trPr>
        <w:tc>
          <w:tcPr>
            <w:tcW w:w="3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80" w:type="dxa"/>
            <w:vAlign w:val="bottom"/>
          </w:tcPr>
          <w:p>
            <w:pPr>
              <w:spacing w:after="0"/>
              <w:rPr>
                <w:sz w:val="24"/>
                <w:szCs w:val="24"/>
                <w:color w:val="auto"/>
              </w:rPr>
            </w:pPr>
          </w:p>
        </w:tc>
        <w:tc>
          <w:tcPr>
            <w:tcW w:w="1240" w:type="dxa"/>
            <w:vAlign w:val="bottom"/>
            <w:tcBorders>
              <w:bottom w:val="single" w:sz="8" w:color="2C6937"/>
            </w:tcBorders>
          </w:tcPr>
          <w:p>
            <w:pPr>
              <w:jc w:val="right"/>
              <w:ind w:right="106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(5,703)</w:t>
            </w:r>
          </w:p>
        </w:tc>
        <w:tc>
          <w:tcPr>
            <w:tcW w:w="100" w:type="dxa"/>
            <w:vAlign w:val="bottom"/>
          </w:tcPr>
          <w:p>
            <w:pPr>
              <w:spacing w:after="0"/>
              <w:rPr>
                <w:sz w:val="24"/>
                <w:szCs w:val="24"/>
                <w:color w:val="auto"/>
              </w:rPr>
            </w:pPr>
          </w:p>
        </w:tc>
        <w:tc>
          <w:tcPr>
            <w:tcW w:w="400" w:type="dxa"/>
            <w:vAlign w:val="bottom"/>
            <w:tcBorders>
              <w:bottom w:val="single" w:sz="8" w:color="2C6937"/>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(7,990)</w:t>
            </w:r>
          </w:p>
        </w:tc>
        <w:tc>
          <w:tcPr>
            <w:tcW w:w="80" w:type="dxa"/>
            <w:vAlign w:val="bottom"/>
          </w:tcPr>
          <w:p>
            <w:pPr>
              <w:spacing w:after="0"/>
              <w:rPr>
                <w:sz w:val="24"/>
                <w:szCs w:val="24"/>
                <w:color w:val="auto"/>
              </w:rPr>
            </w:pPr>
          </w:p>
        </w:tc>
        <w:tc>
          <w:tcPr>
            <w:tcW w:w="320" w:type="dxa"/>
            <w:vAlign w:val="bottom"/>
            <w:tcBorders>
              <w:bottom w:val="single" w:sz="8" w:color="2C6937"/>
            </w:tcBorders>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(5,703)</w:t>
            </w:r>
          </w:p>
        </w:tc>
        <w:tc>
          <w:tcPr>
            <w:tcW w:w="100" w:type="dxa"/>
            <w:vAlign w:val="bottom"/>
          </w:tcPr>
          <w:p>
            <w:pPr>
              <w:spacing w:after="0"/>
              <w:rPr>
                <w:sz w:val="24"/>
                <w:szCs w:val="24"/>
                <w:color w:val="auto"/>
              </w:rPr>
            </w:pPr>
          </w:p>
        </w:tc>
        <w:tc>
          <w:tcPr>
            <w:tcW w:w="400" w:type="dxa"/>
            <w:vAlign w:val="bottom"/>
            <w:tcBorders>
              <w:bottom w:val="single" w:sz="8" w:color="2C6937"/>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(7,990)</w:t>
            </w:r>
          </w:p>
        </w:tc>
      </w:tr>
      <w:tr>
        <w:trPr>
          <w:trHeight w:val="26"/>
        </w:trPr>
        <w:tc>
          <w:tcPr>
            <w:tcW w:w="37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2C6937"/>
            </w:tcBorders>
          </w:tcPr>
          <w:p>
            <w:pPr>
              <w:spacing w:after="0"/>
              <w:rPr>
                <w:sz w:val="2"/>
                <w:szCs w:val="2"/>
                <w:color w:val="auto"/>
              </w:rPr>
            </w:pPr>
          </w:p>
        </w:tc>
        <w:tc>
          <w:tcPr>
            <w:tcW w:w="6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13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2C6937"/>
            </w:tcBorders>
          </w:tcPr>
          <w:p>
            <w:pPr>
              <w:spacing w:after="0"/>
              <w:rPr>
                <w:sz w:val="2"/>
                <w:szCs w:val="2"/>
                <w:color w:val="auto"/>
              </w:rPr>
            </w:pPr>
          </w:p>
        </w:tc>
        <w:tc>
          <w:tcPr>
            <w:tcW w:w="1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1380" w:type="dxa"/>
            <w:vAlign w:val="bottom"/>
            <w:tcBorders>
              <w:bottom w:val="single" w:sz="8" w:color="2C6937"/>
            </w:tcBorders>
          </w:tcPr>
          <w:p>
            <w:pPr>
              <w:spacing w:after="0"/>
              <w:rPr>
                <w:sz w:val="2"/>
                <w:szCs w:val="2"/>
                <w:color w:val="auto"/>
              </w:rPr>
            </w:pPr>
          </w:p>
        </w:tc>
      </w:tr>
      <w:tr>
        <w:trPr>
          <w:trHeight w:val="288"/>
        </w:trPr>
        <w:tc>
          <w:tcPr>
            <w:tcW w:w="3800" w:type="dxa"/>
            <w:vAlign w:val="bottom"/>
            <w:gridSpan w:val="2"/>
          </w:tcPr>
          <w:p>
            <w:pPr>
              <w:ind w:left="20"/>
              <w:spacing w:after="0"/>
              <w:rPr>
                <w:sz w:val="20"/>
                <w:szCs w:val="20"/>
                <w:color w:val="auto"/>
              </w:rPr>
            </w:pPr>
            <w:r>
              <w:rPr>
                <w:rFonts w:ascii="Arial" w:cs="Arial" w:eastAsia="Arial" w:hAnsi="Arial"/>
                <w:sz w:val="15"/>
                <w:szCs w:val="15"/>
                <w:color w:val="auto"/>
              </w:rPr>
              <w:t>Multifamily allowance for loan losses:</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0"/>
        </w:trPr>
        <w:tc>
          <w:tcPr>
            <w:tcW w:w="380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240" w:type="dxa"/>
            <w:vAlign w:val="bottom"/>
          </w:tcPr>
          <w:p>
            <w:pPr>
              <w:jc w:val="right"/>
              <w:ind w:right="106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(2,104)</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(1,856)</w:t>
            </w:r>
          </w:p>
        </w:tc>
        <w:tc>
          <w:tcPr>
            <w:tcW w:w="8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(2,059)</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(1,904)</w:t>
            </w:r>
          </w:p>
        </w:tc>
      </w:tr>
      <w:tr>
        <w:trPr>
          <w:trHeight w:val="309"/>
        </w:trPr>
        <w:tc>
          <w:tcPr>
            <w:tcW w:w="3800" w:type="dxa"/>
            <w:vAlign w:val="bottom"/>
            <w:gridSpan w:val="2"/>
          </w:tcPr>
          <w:p>
            <w:pPr>
              <w:ind w:left="320"/>
              <w:spacing w:after="0"/>
              <w:rPr>
                <w:sz w:val="20"/>
                <w:szCs w:val="20"/>
                <w:color w:val="auto"/>
              </w:rPr>
            </w:pPr>
            <w:r>
              <w:rPr>
                <w:rFonts w:ascii="Arial" w:cs="Arial" w:eastAsia="Arial" w:hAnsi="Arial"/>
                <w:sz w:val="15"/>
                <w:szCs w:val="15"/>
                <w:color w:val="auto"/>
              </w:rPr>
              <w:t>Benefit (provision) for loan losses</w:t>
            </w:r>
          </w:p>
        </w:tc>
        <w:tc>
          <w:tcPr>
            <w:tcW w:w="1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(245)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(152)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(402)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(332)</w:t>
            </w:r>
          </w:p>
        </w:tc>
      </w:tr>
      <w:tr>
        <w:trPr>
          <w:trHeight w:val="309"/>
        </w:trPr>
        <w:tc>
          <w:tcPr>
            <w:tcW w:w="380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38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171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254</w:t>
            </w:r>
          </w:p>
        </w:tc>
      </w:tr>
      <w:tr>
        <w:trPr>
          <w:trHeight w:val="303"/>
        </w:trPr>
        <w:tc>
          <w:tcPr>
            <w:tcW w:w="37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80" w:type="dxa"/>
            <w:vAlign w:val="bottom"/>
          </w:tcPr>
          <w:p>
            <w:pPr>
              <w:spacing w:after="0"/>
              <w:rPr>
                <w:sz w:val="24"/>
                <w:szCs w:val="24"/>
                <w:color w:val="auto"/>
              </w:rPr>
            </w:pPr>
          </w:p>
        </w:tc>
        <w:tc>
          <w:tcPr>
            <w:tcW w:w="124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w:t>
            </w:r>
          </w:p>
        </w:tc>
      </w:tr>
      <w:tr>
        <w:trPr>
          <w:trHeight w:val="302"/>
        </w:trPr>
        <w:tc>
          <w:tcPr>
            <w:tcW w:w="3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80" w:type="dxa"/>
            <w:vAlign w:val="bottom"/>
          </w:tcPr>
          <w:p>
            <w:pPr>
              <w:spacing w:after="0"/>
              <w:rPr>
                <w:sz w:val="24"/>
                <w:szCs w:val="24"/>
                <w:color w:val="auto"/>
              </w:rPr>
            </w:pPr>
          </w:p>
        </w:tc>
        <w:tc>
          <w:tcPr>
            <w:tcW w:w="1240" w:type="dxa"/>
            <w:vAlign w:val="bottom"/>
            <w:tcBorders>
              <w:bottom w:val="single" w:sz="8" w:color="2C6937"/>
            </w:tcBorders>
          </w:tcPr>
          <w:p>
            <w:pPr>
              <w:jc w:val="right"/>
              <w:ind w:right="106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(2,323)</w:t>
            </w:r>
          </w:p>
        </w:tc>
        <w:tc>
          <w:tcPr>
            <w:tcW w:w="100" w:type="dxa"/>
            <w:vAlign w:val="bottom"/>
          </w:tcPr>
          <w:p>
            <w:pPr>
              <w:spacing w:after="0"/>
              <w:rPr>
                <w:sz w:val="24"/>
                <w:szCs w:val="24"/>
                <w:color w:val="auto"/>
              </w:rPr>
            </w:pPr>
          </w:p>
        </w:tc>
        <w:tc>
          <w:tcPr>
            <w:tcW w:w="400" w:type="dxa"/>
            <w:vAlign w:val="bottom"/>
            <w:tcBorders>
              <w:bottom w:val="single" w:sz="8" w:color="2C6937"/>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(1,992)</w:t>
            </w:r>
          </w:p>
        </w:tc>
        <w:tc>
          <w:tcPr>
            <w:tcW w:w="80" w:type="dxa"/>
            <w:vAlign w:val="bottom"/>
          </w:tcPr>
          <w:p>
            <w:pPr>
              <w:spacing w:after="0"/>
              <w:rPr>
                <w:sz w:val="24"/>
                <w:szCs w:val="24"/>
                <w:color w:val="auto"/>
              </w:rPr>
            </w:pPr>
          </w:p>
        </w:tc>
        <w:tc>
          <w:tcPr>
            <w:tcW w:w="320" w:type="dxa"/>
            <w:vAlign w:val="bottom"/>
            <w:tcBorders>
              <w:bottom w:val="single" w:sz="8" w:color="2C6937"/>
            </w:tcBorders>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(2,323)</w:t>
            </w:r>
          </w:p>
        </w:tc>
        <w:tc>
          <w:tcPr>
            <w:tcW w:w="100" w:type="dxa"/>
            <w:vAlign w:val="bottom"/>
          </w:tcPr>
          <w:p>
            <w:pPr>
              <w:spacing w:after="0"/>
              <w:rPr>
                <w:sz w:val="24"/>
                <w:szCs w:val="24"/>
                <w:color w:val="auto"/>
              </w:rPr>
            </w:pPr>
          </w:p>
        </w:tc>
        <w:tc>
          <w:tcPr>
            <w:tcW w:w="400" w:type="dxa"/>
            <w:vAlign w:val="bottom"/>
            <w:tcBorders>
              <w:bottom w:val="single" w:sz="8" w:color="2C6937"/>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(1,992)</w:t>
            </w:r>
          </w:p>
        </w:tc>
      </w:tr>
      <w:tr>
        <w:trPr>
          <w:trHeight w:val="20"/>
        </w:trPr>
        <w:tc>
          <w:tcPr>
            <w:tcW w:w="37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13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14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1380" w:type="dxa"/>
            <w:vAlign w:val="bottom"/>
            <w:tcBorders>
              <w:bottom w:val="single" w:sz="8" w:color="2C6937"/>
            </w:tcBorders>
          </w:tcPr>
          <w:p>
            <w:pPr>
              <w:spacing w:after="0" w:line="20" w:lineRule="exact"/>
              <w:rPr>
                <w:sz w:val="1"/>
                <w:szCs w:val="1"/>
                <w:color w:val="auto"/>
              </w:rPr>
            </w:pPr>
          </w:p>
        </w:tc>
      </w:tr>
      <w:tr>
        <w:trPr>
          <w:trHeight w:val="287"/>
        </w:trPr>
        <w:tc>
          <w:tcPr>
            <w:tcW w:w="3800" w:type="dxa"/>
            <w:vAlign w:val="bottom"/>
            <w:gridSpan w:val="2"/>
          </w:tcPr>
          <w:p>
            <w:pPr>
              <w:ind w:left="20"/>
              <w:spacing w:after="0"/>
              <w:rPr>
                <w:sz w:val="20"/>
                <w:szCs w:val="20"/>
                <w:color w:val="auto"/>
              </w:rPr>
            </w:pPr>
            <w:r>
              <w:rPr>
                <w:rFonts w:ascii="Arial" w:cs="Arial" w:eastAsia="Arial" w:hAnsi="Arial"/>
                <w:sz w:val="15"/>
                <w:szCs w:val="15"/>
                <w:color w:val="auto"/>
              </w:rPr>
              <w:t>Total allowance for loan losses:</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0"/>
        </w:trPr>
        <w:tc>
          <w:tcPr>
            <w:tcW w:w="380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240" w:type="dxa"/>
            <w:vAlign w:val="bottom"/>
          </w:tcPr>
          <w:p>
            <w:pPr>
              <w:jc w:val="right"/>
              <w:ind w:right="106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(8,379)</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(11,335)</w:t>
            </w:r>
          </w:p>
        </w:tc>
        <w:tc>
          <w:tcPr>
            <w:tcW w:w="8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(8,730)</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(11,347)</w:t>
            </w:r>
          </w:p>
        </w:tc>
      </w:tr>
      <w:tr>
        <w:trPr>
          <w:trHeight w:val="309"/>
        </w:trPr>
        <w:tc>
          <w:tcPr>
            <w:tcW w:w="3800" w:type="dxa"/>
            <w:vAlign w:val="bottom"/>
            <w:gridSpan w:val="2"/>
          </w:tcPr>
          <w:p>
            <w:pPr>
              <w:ind w:left="320"/>
              <w:spacing w:after="0"/>
              <w:rPr>
                <w:sz w:val="20"/>
                <w:szCs w:val="20"/>
                <w:color w:val="auto"/>
              </w:rPr>
            </w:pPr>
            <w:r>
              <w:rPr>
                <w:rFonts w:ascii="Arial" w:cs="Arial" w:eastAsia="Arial" w:hAnsi="Arial"/>
                <w:sz w:val="15"/>
                <w:szCs w:val="15"/>
                <w:color w:val="auto"/>
              </w:rPr>
              <w:t>Benefit (provision) for loan losses</w:t>
            </w:r>
          </w:p>
        </w:tc>
        <w:tc>
          <w:tcPr>
            <w:tcW w:w="1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285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1,247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467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1,071</w:t>
            </w:r>
          </w:p>
        </w:tc>
      </w:tr>
      <w:tr>
        <w:trPr>
          <w:trHeight w:val="309"/>
        </w:trPr>
        <w:tc>
          <w:tcPr>
            <w:tcW w:w="380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179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427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349</w:t>
            </w:r>
          </w:p>
        </w:tc>
      </w:tr>
      <w:tr>
        <w:trPr>
          <w:trHeight w:val="309"/>
        </w:trPr>
        <w:tc>
          <w:tcPr>
            <w:tcW w:w="3800" w:type="dxa"/>
            <w:vAlign w:val="bottom"/>
            <w:gridSpan w:val="2"/>
          </w:tcPr>
          <w:p>
            <w:pPr>
              <w:ind w:left="320"/>
              <w:spacing w:after="0"/>
              <w:rPr>
                <w:sz w:val="20"/>
                <w:szCs w:val="20"/>
                <w:color w:val="auto"/>
              </w:rPr>
            </w:pPr>
            <w:r>
              <w:rPr>
                <w:rFonts w:ascii="Arial" w:cs="Arial" w:eastAsia="Arial" w:hAnsi="Arial"/>
                <w:sz w:val="15"/>
                <w:szCs w:val="15"/>
                <w:color w:val="auto"/>
              </w:rPr>
              <w:t>Recoveries</w:t>
            </w:r>
          </w:p>
        </w:tc>
        <w:tc>
          <w:tcPr>
            <w:tcW w:w="1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(111)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(190)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(113)</w:t>
            </w:r>
          </w:p>
        </w:tc>
      </w:tr>
      <w:tr>
        <w:trPr>
          <w:trHeight w:val="303"/>
        </w:trPr>
        <w:tc>
          <w:tcPr>
            <w:tcW w:w="37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24"/>
                <w:szCs w:val="24"/>
                <w:color w:val="auto"/>
              </w:rPr>
            </w:pPr>
          </w:p>
        </w:tc>
        <w:tc>
          <w:tcPr>
            <w:tcW w:w="124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64</w:t>
            </w:r>
          </w:p>
        </w:tc>
        <w:tc>
          <w:tcPr>
            <w:tcW w:w="8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58</w:t>
            </w:r>
          </w:p>
        </w:tc>
      </w:tr>
      <w:tr>
        <w:trPr>
          <w:trHeight w:val="302"/>
        </w:trPr>
        <w:tc>
          <w:tcPr>
            <w:tcW w:w="3800" w:type="dxa"/>
            <w:vAlign w:val="bottom"/>
            <w:gridSpan w:val="2"/>
          </w:tcPr>
          <w:p>
            <w:pPr>
              <w:ind w:left="180"/>
              <w:spacing w:after="0"/>
              <w:rPr>
                <w:sz w:val="20"/>
                <w:szCs w:val="20"/>
                <w:color w:val="auto"/>
              </w:rPr>
            </w:pPr>
            <w:r>
              <w:rPr>
                <w:rFonts w:ascii="Arial" w:cs="Arial" w:eastAsia="Arial" w:hAnsi="Arial"/>
                <w:sz w:val="15"/>
                <w:szCs w:val="15"/>
                <w:color w:val="auto"/>
              </w:rPr>
              <w:t>Ending balance</w:t>
            </w:r>
          </w:p>
        </w:tc>
        <w:tc>
          <w:tcPr>
            <w:tcW w:w="1240" w:type="dxa"/>
            <w:vAlign w:val="bottom"/>
          </w:tcPr>
          <w:p>
            <w:pPr>
              <w:jc w:val="right"/>
              <w:ind w:right="106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(8,026)</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(9,982)</w:t>
            </w:r>
          </w:p>
        </w:tc>
        <w:tc>
          <w:tcPr>
            <w:tcW w:w="8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(8,026)</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(9,982)</w:t>
            </w:r>
          </w:p>
        </w:tc>
      </w:tr>
      <w:tr>
        <w:trPr>
          <w:trHeight w:val="20"/>
        </w:trPr>
        <w:tc>
          <w:tcPr>
            <w:tcW w:w="37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13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1380" w:type="dxa"/>
            <w:vAlign w:val="bottom"/>
            <w:tcBorders>
              <w:top w:val="single" w:sz="8" w:color="2C6937"/>
              <w:bottom w:val="single" w:sz="8" w:color="2C6937"/>
            </w:tcBorders>
          </w:tcPr>
          <w:p>
            <w:pPr>
              <w:spacing w:after="0" w:line="20" w:lineRule="exact"/>
              <w:rPr>
                <w:sz w:val="1"/>
                <w:szCs w:val="1"/>
                <w:color w:val="auto"/>
              </w:rPr>
            </w:pPr>
          </w:p>
        </w:tc>
      </w:tr>
    </w:tbl>
    <w:p>
      <w:pPr>
        <w:spacing w:after="0" w:line="146"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Our benefit (provision) for loan losses can vary substantially from period to period based on a number of factors, such as changes in actual and forecasted home prices or property valuations, fluctuations in actual and forecasted interest rates, borrower payment behavior, events such as natural disasters or pandemics, the type, volume and effectiveness of our loss mitigation activities, including forbearances and loan modifications, the volume of foreclosures completed, and the volume and pricing of loans redesignated from HFI to HFS. Our benefit or provision can also be impacted by updates to the models, assumptions, and data used in determining our allowance for loan losses.</w:t>
      </w:r>
    </w:p>
    <w:p>
      <w:pPr>
        <w:spacing w:after="0" w:line="38"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Our single-family benefit for loan losses for the three and six months ended June 30, 2024 was primarily driven by a benefit from actual and forecasted home price growth, partially offset by a provision from changes in loan activity, as described below:</w:t>
      </w:r>
    </w:p>
    <w:p>
      <w:pPr>
        <w:spacing w:after="0" w:line="41" w:lineRule="exact"/>
        <w:rPr>
          <w:sz w:val="20"/>
          <w:szCs w:val="20"/>
          <w:color w:val="auto"/>
        </w:rPr>
      </w:pPr>
    </w:p>
    <w:p>
      <w:pPr>
        <w:ind w:left="620" w:right="420" w:hanging="307"/>
        <w:spacing w:after="0" w:line="293" w:lineRule="auto"/>
        <w:tabs>
          <w:tab w:leader="none" w:pos="609" w:val="left"/>
        </w:tabs>
        <w:numPr>
          <w:ilvl w:val="0"/>
          <w:numId w:val="81"/>
        </w:numPr>
        <w:rPr>
          <w:rFonts w:ascii="Arial" w:cs="Arial" w:eastAsia="Arial" w:hAnsi="Arial"/>
          <w:sz w:val="15"/>
          <w:szCs w:val="15"/>
          <w:color w:val="auto"/>
        </w:rPr>
      </w:pPr>
      <w:r>
        <w:rPr>
          <w:rFonts w:ascii="Arial" w:cs="Arial" w:eastAsia="Arial" w:hAnsi="Arial"/>
          <w:sz w:val="16"/>
          <w:szCs w:val="16"/>
          <w:color w:val="auto"/>
        </w:rPr>
        <w:t>Benefit from actual and forecasted home price growth. During the three and six months ended June 30, 2024, actual home prices appreciated more than originally projected and our forecast of future home prices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350520</wp:posOffset>
            </wp:positionV>
            <wp:extent cx="680593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7" w:name="page88"/>
    <w:bookmarkEnd w:id="87"/>
    <w:p>
      <w:pPr>
        <w:ind w:left="5860"/>
        <w:spacing w:after="0"/>
        <w:rPr>
          <w:sz w:val="20"/>
          <w:szCs w:val="20"/>
          <w:color w:val="auto"/>
        </w:rPr>
      </w:pPr>
      <w:r>
        <w:rPr>
          <w:rFonts w:ascii="Arial" w:cs="Arial" w:eastAsia="Arial" w:hAnsi="Arial"/>
          <w:sz w:val="14"/>
          <w:szCs w:val="14"/>
          <w:color w:val="05314D"/>
        </w:rPr>
        <w:t>Notes to Condensed Consolidated Financial Statements |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154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20" w:right="500"/>
        <w:spacing w:after="0" w:line="293" w:lineRule="auto"/>
        <w:rPr>
          <w:sz w:val="20"/>
          <w:szCs w:val="20"/>
          <w:color w:val="auto"/>
        </w:rPr>
      </w:pPr>
      <w:r>
        <w:rPr>
          <w:rFonts w:ascii="Arial" w:cs="Arial" w:eastAsia="Arial" w:hAnsi="Arial"/>
          <w:sz w:val="16"/>
          <w:szCs w:val="16"/>
          <w:color w:val="auto"/>
        </w:rPr>
        <w:t>improved. Higher home prices decrease the likelihood that loans will default and reduce the amount of losses on loans that do default, which impacts our estimate of losses and ultimately reduces our loss reserves and provision for loan losses.</w:t>
      </w:r>
    </w:p>
    <w:p>
      <w:pPr>
        <w:spacing w:after="0" w:line="41" w:lineRule="exact"/>
        <w:rPr>
          <w:sz w:val="20"/>
          <w:szCs w:val="20"/>
          <w:color w:val="auto"/>
        </w:rPr>
      </w:pPr>
    </w:p>
    <w:p>
      <w:pPr>
        <w:ind w:left="620" w:hanging="307"/>
        <w:spacing w:after="0" w:line="271" w:lineRule="auto"/>
        <w:tabs>
          <w:tab w:leader="none" w:pos="609" w:val="left"/>
        </w:tabs>
        <w:numPr>
          <w:ilvl w:val="0"/>
          <w:numId w:val="82"/>
        </w:numPr>
        <w:rPr>
          <w:rFonts w:ascii="Arial" w:cs="Arial" w:eastAsia="Arial" w:hAnsi="Arial"/>
          <w:sz w:val="15"/>
          <w:szCs w:val="15"/>
          <w:color w:val="auto"/>
        </w:rPr>
      </w:pPr>
      <w:r>
        <w:rPr>
          <w:rFonts w:ascii="Arial" w:cs="Arial" w:eastAsia="Arial" w:hAnsi="Arial"/>
          <w:sz w:val="16"/>
          <w:szCs w:val="16"/>
          <w:color w:val="auto"/>
        </w:rPr>
        <w:t>Provision from changes in loan activity. This includes provision on newly acquired loans and was primarily driven by the credit risk profile of our single-family acquisitions for the three and six months ended June 30, 2024, which primarily consisted of purchase loans. Purchase loans generally have higher origination LTV ratios than refinance loans; therefore, purchase loans have a higher estimated risk of default and loss severity in the allowance than refinance loans and a correspondingly higher loan loss provision at the time of acquisition.</w:t>
      </w:r>
    </w:p>
    <w:p>
      <w:pPr>
        <w:spacing w:after="0" w:line="33"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Our single-family benefit for loan losses for the three and six months ended June 30, 2023 was primarily driven by a benefit from actual and forecasted home price growth, partially offset by a provision from changes in loan activity, as described in more detail below:</w:t>
      </w:r>
    </w:p>
    <w:p>
      <w:pPr>
        <w:spacing w:after="0" w:line="54" w:lineRule="exact"/>
        <w:rPr>
          <w:sz w:val="20"/>
          <w:szCs w:val="20"/>
          <w:color w:val="auto"/>
        </w:rPr>
      </w:pPr>
    </w:p>
    <w:p>
      <w:pPr>
        <w:jc w:val="both"/>
        <w:ind w:left="620" w:right="280" w:hanging="307"/>
        <w:spacing w:after="0" w:line="272" w:lineRule="auto"/>
        <w:tabs>
          <w:tab w:leader="none" w:pos="609" w:val="left"/>
        </w:tabs>
        <w:numPr>
          <w:ilvl w:val="0"/>
          <w:numId w:val="83"/>
        </w:numPr>
        <w:rPr>
          <w:rFonts w:ascii="Arial" w:cs="Arial" w:eastAsia="Arial" w:hAnsi="Arial"/>
          <w:sz w:val="15"/>
          <w:szCs w:val="15"/>
          <w:color w:val="auto"/>
        </w:rPr>
      </w:pPr>
      <w:r>
        <w:rPr>
          <w:rFonts w:ascii="Arial" w:cs="Arial" w:eastAsia="Arial" w:hAnsi="Arial"/>
          <w:sz w:val="16"/>
          <w:szCs w:val="16"/>
          <w:color w:val="auto"/>
        </w:rPr>
        <w:t>Benefit from actual and forecasted home price growth. During the three and six months ended June 30, 2023, we observed strong actual home price appreciation. In addition, our updated 2023 home price forecast changed from our prior estimate, resulting in a shift to positive home price appreciation for the year.</w:t>
      </w:r>
    </w:p>
    <w:p>
      <w:pPr>
        <w:spacing w:after="0" w:line="57" w:lineRule="exact"/>
        <w:rPr>
          <w:rFonts w:ascii="Arial" w:cs="Arial" w:eastAsia="Arial" w:hAnsi="Arial"/>
          <w:sz w:val="15"/>
          <w:szCs w:val="15"/>
          <w:color w:val="auto"/>
        </w:rPr>
      </w:pPr>
    </w:p>
    <w:p>
      <w:pPr>
        <w:ind w:left="620" w:right="340" w:hanging="307"/>
        <w:spacing w:after="0" w:line="272" w:lineRule="auto"/>
        <w:tabs>
          <w:tab w:leader="none" w:pos="612" w:val="left"/>
        </w:tabs>
        <w:numPr>
          <w:ilvl w:val="0"/>
          <w:numId w:val="83"/>
        </w:numPr>
        <w:rPr>
          <w:rFonts w:ascii="Arial" w:cs="Arial" w:eastAsia="Arial" w:hAnsi="Arial"/>
          <w:sz w:val="16"/>
          <w:szCs w:val="16"/>
          <w:color w:val="auto"/>
        </w:rPr>
      </w:pPr>
      <w:r>
        <w:rPr>
          <w:rFonts w:ascii="Arial" w:cs="Arial" w:eastAsia="Arial" w:hAnsi="Arial"/>
          <w:sz w:val="16"/>
          <w:szCs w:val="16"/>
          <w:color w:val="auto"/>
        </w:rPr>
        <w:t>Provision from changes in loan activity. This includes provision on newly acquired loans and was primarily driven by the credit risk profile of our single-family acquisitions for the three and six months ended June 30, 2023, as described in our quarterly report on Form 10-Q for the quarter ended June 30, 2023.</w:t>
      </w:r>
    </w:p>
    <w:p>
      <w:pPr>
        <w:spacing w:after="0" w:line="71"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Our multifamily provision for loan losses for the three months ended June 30, 2024 was primarily driven by continued declines in estimated actual and near-term projected multifamily property values and the impact of new 30-day loan delinquencies in our multifamily guaranty book of business, including provision attributable to a portfolio of approximately $600 million of adjustable-rate conventional loans.</w:t>
      </w:r>
    </w:p>
    <w:p>
      <w:pPr>
        <w:spacing w:after="0" w:line="58"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Our multifamily provision for loan losses for the six months ended June 30, 2024 was primarily driven by declines in estimated actual and near-term projected multifamily property values, the impact of new 30-day loan delinquencies in our multifamily guaranty book of business, and increases in actual and projected interest rates.</w:t>
      </w:r>
    </w:p>
    <w:p>
      <w:pPr>
        <w:spacing w:after="0" w:line="24" w:lineRule="exact"/>
        <w:rPr>
          <w:sz w:val="20"/>
          <w:szCs w:val="20"/>
          <w:color w:val="auto"/>
        </w:rPr>
      </w:pPr>
    </w:p>
    <w:p>
      <w:pPr>
        <w:jc w:val="both"/>
        <w:ind w:right="360"/>
        <w:spacing w:after="0" w:line="272" w:lineRule="auto"/>
        <w:rPr>
          <w:sz w:val="20"/>
          <w:szCs w:val="20"/>
          <w:color w:val="auto"/>
        </w:rPr>
      </w:pPr>
      <w:r>
        <w:rPr>
          <w:rFonts w:ascii="Arial" w:cs="Arial" w:eastAsia="Arial" w:hAnsi="Arial"/>
          <w:sz w:val="16"/>
          <w:szCs w:val="16"/>
          <w:color w:val="auto"/>
        </w:rPr>
        <w:t>Our multifamily provision for loan losses for the three and six months ended June 30, 2023 was primarily driven by decreases in estimated multifamily property values. This resulted in higher estimated LTV ratios on the loans in our multifamily guaranty book of business, which increased our estimate of expected credit losses on these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Multifamily write-offs for the six months ended June 30, 2023 were due to the write-off of a seniors housing portfolio in the first quarter of 2023.</w:t>
      </w:r>
    </w:p>
    <w:p>
      <w:pPr>
        <w:spacing w:after="0" w:line="196"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6. Investments in Securities</w:t>
      </w:r>
    </w:p>
    <w:p>
      <w:pPr>
        <w:spacing w:after="0" w:line="113"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Trading Securities</w:t>
      </w:r>
    </w:p>
    <w:p>
      <w:pPr>
        <w:spacing w:after="0" w:line="81" w:lineRule="exact"/>
        <w:rPr>
          <w:sz w:val="20"/>
          <w:szCs w:val="20"/>
          <w:color w:val="auto"/>
        </w:rPr>
      </w:pPr>
    </w:p>
    <w:p>
      <w:pPr>
        <w:ind w:right="880"/>
        <w:spacing w:after="0" w:line="285" w:lineRule="auto"/>
        <w:rPr>
          <w:sz w:val="20"/>
          <w:szCs w:val="20"/>
          <w:color w:val="auto"/>
        </w:rPr>
      </w:pPr>
      <w:r>
        <w:rPr>
          <w:rFonts w:ascii="Arial" w:cs="Arial" w:eastAsia="Arial" w:hAnsi="Arial"/>
          <w:sz w:val="16"/>
          <w:szCs w:val="16"/>
          <w:color w:val="auto"/>
        </w:rPr>
        <w:t>Trading securities are recorded at fair value with subsequent changes in fair value recorded as “Fair value gains (losses), net” in our condensed consolidated statements of operations and comprehensive income. The following table displays our investments in trading securities.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right="200" w:hanging="154"/>
        <w:spacing w:after="0" w:line="287" w:lineRule="auto"/>
        <w:rPr>
          <w:sz w:val="20"/>
          <w:szCs w:val="20"/>
          <w:color w:val="auto"/>
        </w:rPr>
      </w:pPr>
      <w:r>
        <w:rPr>
          <w:rFonts w:ascii="Arial" w:cs="Arial" w:eastAsia="Arial" w:hAnsi="Arial"/>
          <w:sz w:val="15"/>
          <w:szCs w:val="15"/>
          <w:color w:val="auto"/>
        </w:rPr>
        <w:t>Mortgage-related securities (includes $327 million and $364 million, respectively, related to consolidated trusts)</w:t>
      </w:r>
    </w:p>
    <w:p>
      <w:pPr>
        <w:ind w:left="20"/>
        <w:spacing w:after="0"/>
        <w:rPr>
          <w:sz w:val="20"/>
          <w:szCs w:val="20"/>
          <w:color w:val="auto"/>
        </w:rPr>
      </w:pPr>
      <w:r>
        <w:rPr>
          <w:rFonts w:ascii="Arial" w:cs="Arial" w:eastAsia="Arial" w:hAnsi="Arial"/>
          <w:sz w:val="15"/>
          <w:szCs w:val="15"/>
          <w:color w:val="auto"/>
        </w:rPr>
        <w:t>Non-mortgage-related securities (includes $8.7 billion and $5.7 billion, respectively, pledged as collateral)</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475615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75615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5"/>
          <w:szCs w:val="15"/>
          <w:color w:val="auto"/>
        </w:rPr>
        <w:t>Total trading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475615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7561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36830</wp:posOffset>
            </wp:positionV>
            <wp:extent cx="475615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756150" cy="8255"/>
                    </a:xfrm>
                    <a:prstGeom prst="rect">
                      <a:avLst/>
                    </a:prstGeom>
                    <a:noFill/>
                  </pic:spPr>
                </pic:pic>
              </a:graphicData>
            </a:graphic>
          </wp:anchor>
        </w:drawing>
      </w:r>
    </w:p>
    <w:p>
      <w:pPr>
        <w:spacing w:after="0" w:line="146" w:lineRule="exact"/>
        <w:rPr>
          <w:sz w:val="20"/>
          <w:szCs w:val="20"/>
          <w:color w:val="auto"/>
        </w:rPr>
      </w:pPr>
    </w:p>
    <w:p>
      <w:pPr>
        <w:ind w:left="220" w:hanging="217"/>
        <w:spacing w:after="0"/>
        <w:tabs>
          <w:tab w:leader="none" w:pos="22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Primarily includes U.S.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365125</wp:posOffset>
            </wp:positionV>
            <wp:extent cx="680593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40"/>
        <w:spacing w:after="0"/>
        <w:rPr>
          <w:sz w:val="20"/>
          <w:szCs w:val="20"/>
          <w:color w:val="auto"/>
        </w:rPr>
      </w:pPr>
      <w:r>
        <w:rPr>
          <w:rFonts w:ascii="Arial" w:cs="Arial" w:eastAsia="Arial" w:hAnsi="Arial"/>
          <w:sz w:val="14"/>
          <w:szCs w:val="14"/>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0" w:type="dxa"/>
            <w:vAlign w:val="bottom"/>
            <w:tcBorders>
              <w:top w:val="single" w:sz="8" w:color="2C6937"/>
              <w:bottom w:val="single" w:sz="8" w:color="2C6937"/>
            </w:tcBorders>
          </w:tcPr>
          <w:p>
            <w:pPr>
              <w:spacing w:after="0"/>
              <w:rPr>
                <w:sz w:val="16"/>
                <w:szCs w:val="16"/>
                <w:color w:val="auto"/>
              </w:rPr>
            </w:pPr>
          </w:p>
        </w:tc>
        <w:tc>
          <w:tcPr>
            <w:tcW w:w="1640" w:type="dxa"/>
            <w:vAlign w:val="bottom"/>
            <w:tcBorders>
              <w:top w:val="single" w:sz="8" w:color="2C6937"/>
              <w:bottom w:val="single" w:sz="8" w:color="2C6937"/>
            </w:tcBorders>
            <w:gridSpan w:val="2"/>
          </w:tcPr>
          <w:p>
            <w:pPr>
              <w:ind w:left="16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Borders>
              <w:top w:val="single" w:sz="8" w:color="2C6937"/>
              <w:bottom w:val="single" w:sz="8" w:color="2C6937"/>
            </w:tcBorders>
          </w:tcPr>
          <w:p>
            <w:pPr>
              <w:spacing w:after="0"/>
              <w:rPr>
                <w:sz w:val="16"/>
                <w:szCs w:val="16"/>
                <w:color w:val="auto"/>
              </w:rPr>
            </w:pPr>
          </w:p>
        </w:tc>
        <w:tc>
          <w:tcPr>
            <w:tcW w:w="1560" w:type="dxa"/>
            <w:vAlign w:val="bottom"/>
            <w:tcBorders>
              <w:top w:val="single" w:sz="8" w:color="2C6937"/>
              <w:bottom w:val="single" w:sz="8" w:color="2C6937"/>
            </w:tcBorders>
          </w:tcPr>
          <w:p>
            <w:pPr>
              <w:jc w:val="right"/>
              <w:ind w:right="185"/>
              <w:spacing w:after="0"/>
              <w:rPr>
                <w:sz w:val="20"/>
                <w:szCs w:val="20"/>
                <w:color w:val="auto"/>
              </w:rPr>
            </w:pPr>
            <w:r>
              <w:rPr>
                <w:rFonts w:ascii="Arial" w:cs="Arial" w:eastAsia="Arial" w:hAnsi="Arial"/>
                <w:sz w:val="14"/>
                <w:szCs w:val="14"/>
                <w:b w:val="1"/>
                <w:bCs w:val="1"/>
                <w:color w:val="auto"/>
              </w:rPr>
              <w:t>December 31, 2023</w:t>
            </w:r>
          </w:p>
        </w:tc>
      </w:tr>
      <w:tr>
        <w:trPr>
          <w:trHeight w:val="185"/>
        </w:trPr>
        <w:tc>
          <w:tcPr>
            <w:tcW w:w="260" w:type="dxa"/>
            <w:vAlign w:val="bottom"/>
          </w:tcPr>
          <w:p>
            <w:pPr>
              <w:spacing w:after="0"/>
              <w:rPr>
                <w:sz w:val="16"/>
                <w:szCs w:val="16"/>
                <w:color w:val="auto"/>
              </w:rPr>
            </w:pPr>
          </w:p>
        </w:tc>
        <w:tc>
          <w:tcPr>
            <w:tcW w:w="3380" w:type="dxa"/>
            <w:vAlign w:val="bottom"/>
            <w:gridSpan w:val="4"/>
          </w:tcPr>
          <w:p>
            <w:pPr>
              <w:jc w:val="right"/>
              <w:ind w:right="1105"/>
              <w:spacing w:after="0"/>
              <w:rPr>
                <w:sz w:val="20"/>
                <w:szCs w:val="20"/>
                <w:color w:val="auto"/>
              </w:rPr>
            </w:pPr>
            <w:r>
              <w:rPr>
                <w:rFonts w:ascii="Arial" w:cs="Arial" w:eastAsia="Arial" w:hAnsi="Arial"/>
                <w:sz w:val="14"/>
                <w:szCs w:val="14"/>
                <w:b w:val="1"/>
                <w:bCs w:val="1"/>
                <w:color w:val="auto"/>
              </w:rPr>
              <w:t>(Dollars in millions)</w:t>
            </w:r>
          </w:p>
        </w:tc>
      </w:tr>
      <w:tr>
        <w:trPr>
          <w:trHeight w:val="426"/>
        </w:trPr>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1,327</w:t>
            </w:r>
          </w:p>
        </w:tc>
        <w:tc>
          <w:tcPr>
            <w:tcW w:w="16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4,770</w:t>
            </w:r>
          </w:p>
        </w:tc>
      </w:tr>
      <w:tr>
        <w:trPr>
          <w:trHeight w:val="208"/>
        </w:trPr>
        <w:tc>
          <w:tcPr>
            <w:tcW w:w="260" w:type="dxa"/>
            <w:vAlign w:val="bottom"/>
            <w:tcBorders>
              <w:bottom w:val="single" w:sz="8" w:color="2C6937"/>
            </w:tcBorders>
          </w:tcPr>
          <w:p>
            <w:pPr>
              <w:spacing w:after="0"/>
              <w:rPr>
                <w:sz w:val="18"/>
                <w:szCs w:val="18"/>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48,065</w:t>
            </w:r>
          </w:p>
        </w:tc>
        <w:tc>
          <w:tcPr>
            <w:tcW w:w="1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47,782</w:t>
            </w:r>
          </w:p>
        </w:tc>
      </w:tr>
      <w:tr>
        <w:trPr>
          <w:trHeight w:val="199"/>
        </w:trPr>
        <w:tc>
          <w:tcPr>
            <w:tcW w:w="260" w:type="dxa"/>
            <w:vAlign w:val="bottom"/>
            <w:tcBorders>
              <w:bottom w:val="single" w:sz="8" w:color="2C6937"/>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49,392</w:t>
            </w:r>
          </w:p>
        </w:tc>
        <w:tc>
          <w:tcPr>
            <w:tcW w:w="160" w:type="dxa"/>
            <w:vAlign w:val="bottom"/>
          </w:tcPr>
          <w:p>
            <w:pPr>
              <w:spacing w:after="0"/>
              <w:rPr>
                <w:sz w:val="17"/>
                <w:szCs w:val="17"/>
                <w:color w:val="auto"/>
              </w:rPr>
            </w:pPr>
          </w:p>
        </w:tc>
        <w:tc>
          <w:tcPr>
            <w:tcW w:w="1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52,552</w:t>
            </w:r>
          </w:p>
        </w:tc>
      </w:tr>
      <w:tr>
        <w:trPr>
          <w:trHeight w:val="20"/>
        </w:trPr>
        <w:tc>
          <w:tcPr>
            <w:tcW w:w="260" w:type="dxa"/>
            <w:vAlign w:val="bottom"/>
            <w:tcBorders>
              <w:bottom w:val="single" w:sz="8" w:color="2C6937"/>
            </w:tcBorders>
          </w:tcPr>
          <w:p>
            <w:pPr>
              <w:spacing w:after="0" w:line="20" w:lineRule="exact"/>
              <w:rPr>
                <w:sz w:val="1"/>
                <w:szCs w:val="1"/>
                <w:color w:val="auto"/>
              </w:rPr>
            </w:pPr>
          </w:p>
        </w:tc>
        <w:tc>
          <w:tcPr>
            <w:tcW w:w="1480" w:type="dxa"/>
            <w:vAlign w:val="bottom"/>
            <w:tcBorders>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560" w:type="dxa"/>
            <w:vAlign w:val="bottom"/>
            <w:tcBorders>
              <w:bottom w:val="single" w:sz="8" w:color="2C6937"/>
            </w:tcBorders>
          </w:tcPr>
          <w:p>
            <w:pPr>
              <w:spacing w:after="0" w:line="20" w:lineRule="exact"/>
              <w:rPr>
                <w:sz w:val="1"/>
                <w:szCs w:val="1"/>
                <w:color w:val="auto"/>
              </w:rPr>
            </w:pPr>
          </w:p>
        </w:tc>
      </w:tr>
    </w:tbl>
    <w:p>
      <w:pPr>
        <w:spacing w:after="0" w:line="501" w:lineRule="exact"/>
        <w:rPr>
          <w:sz w:val="20"/>
          <w:szCs w:val="20"/>
          <w:color w:val="auto"/>
        </w:rPr>
      </w:pPr>
    </w:p>
    <w:p>
      <w:pPr>
        <w:sectPr>
          <w:pgSz w:w="11900" w:h="16838" w:orient="portrait"/>
          <w:cols w:equalWidth="0" w:num="2">
            <w:col w:w="7320" w:space="280"/>
            <w:col w:w="3640"/>
          </w:cols>
          <w:pgMar w:left="320" w:top="248" w:right="339" w:bottom="1440" w:gutter="0" w:footer="0" w:header="0"/>
          <w:type w:val="continuous"/>
        </w:sectPr>
      </w:pPr>
    </w:p>
    <w:p>
      <w:pPr>
        <w:spacing w:after="0" w:line="393"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8" w:name="page89"/>
    <w:bookmarkEnd w:id="88"/>
    <w:p>
      <w:pPr>
        <w:ind w:left="6080"/>
        <w:spacing w:after="0"/>
        <w:rPr>
          <w:sz w:val="20"/>
          <w:szCs w:val="20"/>
          <w:color w:val="auto"/>
        </w:rPr>
      </w:pPr>
      <w:r>
        <w:rPr>
          <w:rFonts w:ascii="Arial" w:cs="Arial" w:eastAsia="Arial" w:hAnsi="Arial"/>
          <w:sz w:val="14"/>
          <w:szCs w:val="14"/>
          <w:color w:val="05314D"/>
        </w:rPr>
        <w:t>Notes to Condensed Consolidated Financial Statements | Investments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information about our net trading gains (losses).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3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7"/>
              </w:rPr>
              <w:t>For the Three Months Ended</w:t>
            </w:r>
          </w:p>
        </w:tc>
        <w:tc>
          <w:tcPr>
            <w:tcW w:w="2200" w:type="dxa"/>
            <w:vAlign w:val="bottom"/>
            <w:gridSpan w:val="4"/>
          </w:tcPr>
          <w:p>
            <w:pPr>
              <w:jc w:val="right"/>
              <w:ind w:right="6"/>
              <w:spacing w:after="0"/>
              <w:rPr>
                <w:sz w:val="20"/>
                <w:szCs w:val="20"/>
                <w:color w:val="auto"/>
              </w:rPr>
            </w:pPr>
            <w:r>
              <w:rPr>
                <w:rFonts w:ascii="Arial" w:cs="Arial" w:eastAsia="Arial" w:hAnsi="Arial"/>
                <w:sz w:val="14"/>
                <w:szCs w:val="14"/>
                <w:b w:val="1"/>
                <w:bCs w:val="1"/>
                <w:color w:val="auto"/>
              </w:rPr>
              <w:t>For the Six Months Ended June</w:t>
            </w:r>
          </w:p>
        </w:tc>
      </w:tr>
      <w:tr>
        <w:trPr>
          <w:trHeight w:val="177"/>
        </w:trPr>
        <w:tc>
          <w:tcPr>
            <w:tcW w:w="6680" w:type="dxa"/>
            <w:vAlign w:val="bottom"/>
          </w:tcPr>
          <w:p>
            <w:pPr>
              <w:spacing w:after="0"/>
              <w:rPr>
                <w:sz w:val="15"/>
                <w:szCs w:val="15"/>
                <w:color w:val="auto"/>
              </w:rPr>
            </w:pPr>
          </w:p>
        </w:tc>
        <w:tc>
          <w:tcPr>
            <w:tcW w:w="680" w:type="dxa"/>
            <w:vAlign w:val="bottom"/>
            <w:tcBorders>
              <w:bottom w:val="single" w:sz="8" w:color="2C6937"/>
            </w:tcBorders>
          </w:tcPr>
          <w:p>
            <w:pPr>
              <w:spacing w:after="0"/>
              <w:rPr>
                <w:sz w:val="15"/>
                <w:szCs w:val="15"/>
                <w:color w:val="auto"/>
              </w:rPr>
            </w:pPr>
          </w:p>
        </w:tc>
        <w:tc>
          <w:tcPr>
            <w:tcW w:w="7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2C6937"/>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spacing w:after="0"/>
              <w:rPr>
                <w:sz w:val="15"/>
                <w:szCs w:val="15"/>
                <w:color w:val="auto"/>
              </w:rPr>
            </w:pPr>
          </w:p>
        </w:tc>
        <w:tc>
          <w:tcPr>
            <w:tcW w:w="400" w:type="dxa"/>
            <w:vAlign w:val="bottom"/>
            <w:tcBorders>
              <w:bottom w:val="single" w:sz="8" w:color="2C6937"/>
            </w:tcBorders>
          </w:tcPr>
          <w:p>
            <w:pPr>
              <w:jc w:val="right"/>
              <w:ind w:right="127"/>
              <w:spacing w:after="0"/>
              <w:rPr>
                <w:sz w:val="20"/>
                <w:szCs w:val="20"/>
                <w:color w:val="auto"/>
              </w:rPr>
            </w:pPr>
            <w:r>
              <w:rPr>
                <w:rFonts w:ascii="Arial" w:cs="Arial" w:eastAsia="Arial" w:hAnsi="Arial"/>
                <w:sz w:val="14"/>
                <w:szCs w:val="14"/>
                <w:b w:val="1"/>
                <w:bCs w:val="1"/>
                <w:color w:val="auto"/>
                <w:w w:val="92"/>
              </w:rPr>
              <w:t>30,</w:t>
            </w:r>
          </w:p>
        </w:tc>
        <w:tc>
          <w:tcPr>
            <w:tcW w:w="800" w:type="dxa"/>
            <w:vAlign w:val="bottom"/>
            <w:tcBorders>
              <w:bottom w:val="single" w:sz="8" w:color="2C6937"/>
            </w:tcBorders>
          </w:tcPr>
          <w:p>
            <w:pPr>
              <w:spacing w:after="0"/>
              <w:rPr>
                <w:sz w:val="15"/>
                <w:szCs w:val="15"/>
                <w:color w:val="auto"/>
              </w:rPr>
            </w:pPr>
          </w:p>
        </w:tc>
      </w:tr>
      <w:tr>
        <w:trPr>
          <w:trHeight w:val="185"/>
        </w:trPr>
        <w:tc>
          <w:tcPr>
            <w:tcW w:w="6680" w:type="dxa"/>
            <w:vAlign w:val="bottom"/>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2C6937"/>
            </w:tcBorders>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87"/>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66"/>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86"/>
              <w:spacing w:after="0"/>
              <w:rPr>
                <w:sz w:val="20"/>
                <w:szCs w:val="20"/>
                <w:color w:val="auto"/>
              </w:rPr>
            </w:pPr>
            <w:r>
              <w:rPr>
                <w:rFonts w:ascii="Arial" w:cs="Arial" w:eastAsia="Arial" w:hAnsi="Arial"/>
                <w:sz w:val="14"/>
                <w:szCs w:val="14"/>
                <w:b w:val="1"/>
                <w:bCs w:val="1"/>
                <w:color w:val="auto"/>
              </w:rPr>
              <w:t>2023</w:t>
            </w:r>
          </w:p>
        </w:tc>
      </w:tr>
      <w:tr>
        <w:trPr>
          <w:trHeight w:val="185"/>
        </w:trPr>
        <w:tc>
          <w:tcPr>
            <w:tcW w:w="6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4"/>
          </w:tcPr>
          <w:p>
            <w:pPr>
              <w:jc w:val="right"/>
              <w:ind w:right="346"/>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4"/>
        </w:trPr>
        <w:tc>
          <w:tcPr>
            <w:tcW w:w="6680" w:type="dxa"/>
            <w:vAlign w:val="bottom"/>
          </w:tcPr>
          <w:p>
            <w:pPr>
              <w:spacing w:after="0"/>
              <w:rPr>
                <w:sz w:val="20"/>
                <w:szCs w:val="20"/>
                <w:color w:val="auto"/>
              </w:rPr>
            </w:pPr>
            <w:r>
              <w:rPr>
                <w:rFonts w:ascii="Arial" w:cs="Arial" w:eastAsia="Arial" w:hAnsi="Arial"/>
                <w:sz w:val="15"/>
                <w:szCs w:val="15"/>
                <w:color w:val="auto"/>
              </w:rPr>
              <w:t>Net trading gains (losses)</w:t>
            </w:r>
          </w:p>
        </w:tc>
        <w:tc>
          <w:tcPr>
            <w:tcW w:w="680" w:type="dxa"/>
            <w:vAlign w:val="bottom"/>
          </w:tcPr>
          <w:p>
            <w:pPr>
              <w:jc w:val="right"/>
              <w:ind w:right="488"/>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46"/>
              <w:spacing w:after="0"/>
              <w:rPr>
                <w:sz w:val="20"/>
                <w:szCs w:val="20"/>
                <w:color w:val="auto"/>
              </w:rPr>
            </w:pPr>
            <w:r>
              <w:rPr>
                <w:rFonts w:ascii="Arial" w:cs="Arial" w:eastAsia="Arial" w:hAnsi="Arial"/>
                <w:sz w:val="15"/>
                <w:szCs w:val="15"/>
                <w:b w:val="1"/>
                <w:bCs w:val="1"/>
                <w:color w:val="auto"/>
              </w:rPr>
              <w:t>121</w:t>
            </w:r>
          </w:p>
        </w:tc>
        <w:tc>
          <w:tcPr>
            <w:tcW w:w="3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(723)</w:t>
            </w:r>
          </w:p>
        </w:tc>
        <w:tc>
          <w:tcPr>
            <w:tcW w:w="140" w:type="dxa"/>
            <w:vAlign w:val="bottom"/>
          </w:tcPr>
          <w:p>
            <w:pPr>
              <w:spacing w:after="0"/>
              <w:rPr>
                <w:sz w:val="18"/>
                <w:szCs w:val="18"/>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(140)</w:t>
            </w:r>
          </w:p>
        </w:tc>
        <w:tc>
          <w:tcPr>
            <w:tcW w:w="4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232"/>
        </w:trPr>
        <w:tc>
          <w:tcPr>
            <w:tcW w:w="6680" w:type="dxa"/>
            <w:vAlign w:val="bottom"/>
          </w:tcPr>
          <w:p>
            <w:pPr>
              <w:spacing w:after="0"/>
              <w:rPr>
                <w:sz w:val="20"/>
                <w:szCs w:val="20"/>
                <w:color w:val="auto"/>
              </w:rPr>
            </w:pPr>
            <w:r>
              <w:rPr>
                <w:rFonts w:ascii="Arial" w:cs="Arial" w:eastAsia="Arial" w:hAnsi="Arial"/>
                <w:sz w:val="15"/>
                <w:szCs w:val="15"/>
                <w:color w:val="auto"/>
              </w:rPr>
              <w:t>Net trading gains (losses) recognized in the period related to securities still held at period end</w:t>
            </w:r>
          </w:p>
        </w:tc>
        <w:tc>
          <w:tcPr>
            <w:tcW w:w="680" w:type="dxa"/>
            <w:vAlign w:val="bottom"/>
          </w:tcPr>
          <w:p>
            <w:pPr>
              <w:spacing w:after="0"/>
              <w:rPr>
                <w:sz w:val="20"/>
                <w:szCs w:val="20"/>
                <w:color w:val="auto"/>
              </w:rPr>
            </w:pPr>
          </w:p>
        </w:tc>
        <w:tc>
          <w:tcPr>
            <w:tcW w:w="400" w:type="dxa"/>
            <w:vAlign w:val="bottom"/>
          </w:tcPr>
          <w:p>
            <w:pPr>
              <w:jc w:val="right"/>
              <w:ind w:right="46"/>
              <w:spacing w:after="0"/>
              <w:rPr>
                <w:sz w:val="20"/>
                <w:szCs w:val="20"/>
                <w:color w:val="auto"/>
              </w:rPr>
            </w:pPr>
            <w:r>
              <w:rPr>
                <w:rFonts w:ascii="Arial" w:cs="Arial" w:eastAsia="Arial" w:hAnsi="Arial"/>
                <w:sz w:val="15"/>
                <w:szCs w:val="15"/>
                <w:b w:val="1"/>
                <w:bCs w:val="1"/>
                <w:color w:val="auto"/>
              </w:rPr>
              <w:t>105</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(731)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(157)</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60</w:t>
            </w:r>
          </w:p>
        </w:tc>
      </w:tr>
    </w:tbl>
    <w:p>
      <w:pPr>
        <w:spacing w:after="0" w:line="237"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Available-for-Sale Securities</w:t>
      </w:r>
    </w:p>
    <w:p>
      <w:pPr>
        <w:spacing w:after="0" w:line="68"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record AFS securities at fair value with unrealized gains and losses, recorded net of tax, as a component of “Other comprehensive income (loss)” and we recognize realized gains and losses from the sale of AFS securities in “Investment gains (losses), net” in our condensed consolidated statements of operations and comprehensive income. We define the amortized cost basis of our AFS securities as unpaid principal balance, net of unamortized premiums and discounts, and other cost basis adjustments. We record an allowance for credit losses for AFS securities that reflects the impairment for credit losses, which are limited to the amount that fair value is less than the amortized cost. Impairment due to non-credit losses are recorded as unrealized losses within “Other comprehensive income (loss).”</w:t>
      </w:r>
    </w:p>
    <w:p>
      <w:pPr>
        <w:spacing w:after="0" w:line="41"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The following tables display the amortized cost, allowance for credit losses, gross unrealized gains and losses in accumulated other comprehensive income (loss) (“AOCI”), and fair value by major security type for AFS securities.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5"/>
          <w:szCs w:val="15"/>
          <w:color w:val="auto"/>
        </w:rPr>
        <w:t>Agency securities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 mortgage-related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313563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135630" cy="8255"/>
                    </a:xfrm>
                    <a:prstGeom prst="rect">
                      <a:avLst/>
                    </a:prstGeom>
                    <a:noFill/>
                  </pic:spPr>
                </pic:pic>
              </a:graphicData>
            </a:graphic>
          </wp:anchor>
        </w:drawing>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313563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135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313563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135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5"/>
          <w:szCs w:val="15"/>
          <w:color w:val="auto"/>
        </w:rPr>
        <w:t>Agency securities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5"/>
          <w:szCs w:val="15"/>
          <w:color w:val="auto"/>
        </w:rPr>
        <w:t>Other mortgage-related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314325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314325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1432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314325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39376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93763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2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6"/>
              </w:rPr>
              <w:t>Total Amortized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Allowance for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Gross</w:t>
            </w: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Gross</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6"/>
              </w:rPr>
              <w:t>Unrealized Gains</w:t>
            </w:r>
          </w:p>
        </w:tc>
        <w:tc>
          <w:tcPr>
            <w:tcW w:w="180" w:type="dxa"/>
            <w:vAlign w:val="bottom"/>
          </w:tcPr>
          <w:p>
            <w:pPr>
              <w:spacing w:after="0"/>
              <w:rPr>
                <w:sz w:val="13"/>
                <w:szCs w:val="13"/>
                <w:color w:val="auto"/>
              </w:rPr>
            </w:pPr>
          </w:p>
        </w:tc>
        <w:tc>
          <w:tcPr>
            <w:tcW w:w="10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Unrealized</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2C6937"/>
            </w:tcBorders>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gridSpan w:val="3"/>
          </w:tcPr>
          <w:p>
            <w:pPr>
              <w:jc w:val="center"/>
              <w:ind w:right="360"/>
              <w:spacing w:after="0"/>
              <w:rPr>
                <w:sz w:val="20"/>
                <w:szCs w:val="20"/>
                <w:color w:val="auto"/>
              </w:rPr>
            </w:pPr>
            <w:r>
              <w:rPr>
                <w:rFonts w:ascii="Arial" w:cs="Arial" w:eastAsia="Arial" w:hAnsi="Arial"/>
                <w:sz w:val="14"/>
                <w:szCs w:val="14"/>
                <w:b w:val="1"/>
                <w:bCs w:val="1"/>
                <w:color w:val="auto"/>
                <w:w w:val="96"/>
              </w:rPr>
              <w:t>Cost</w:t>
            </w: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Credit Losses</w:t>
            </w: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2"/>
          </w:tcPr>
          <w:p>
            <w:pPr>
              <w:jc w:val="center"/>
              <w:ind w:right="340"/>
              <w:spacing w:after="0"/>
              <w:rPr>
                <w:sz w:val="20"/>
                <w:szCs w:val="20"/>
                <w:color w:val="auto"/>
              </w:rPr>
            </w:pPr>
            <w:r>
              <w:rPr>
                <w:rFonts w:ascii="Arial" w:cs="Arial" w:eastAsia="Arial" w:hAnsi="Arial"/>
                <w:sz w:val="14"/>
                <w:szCs w:val="14"/>
                <w:b w:val="1"/>
                <w:bCs w:val="1"/>
                <w:color w:val="auto"/>
                <w:w w:val="97"/>
              </w:rPr>
              <w:t>in AOCI</w:t>
            </w:r>
          </w:p>
        </w:tc>
        <w:tc>
          <w:tcPr>
            <w:tcW w:w="1260" w:type="dxa"/>
            <w:vAlign w:val="bottom"/>
            <w:tcBorders>
              <w:bottom w:val="single" w:sz="8" w:color="2C6937"/>
            </w:tcBorders>
            <w:gridSpan w:val="3"/>
          </w:tcPr>
          <w:p>
            <w:pPr>
              <w:jc w:val="center"/>
              <w:ind w:right="120"/>
              <w:spacing w:after="0"/>
              <w:rPr>
                <w:sz w:val="20"/>
                <w:szCs w:val="20"/>
                <w:color w:val="auto"/>
              </w:rPr>
            </w:pPr>
            <w:r>
              <w:rPr>
                <w:rFonts w:ascii="Arial" w:cs="Arial" w:eastAsia="Arial" w:hAnsi="Arial"/>
                <w:sz w:val="14"/>
                <w:szCs w:val="14"/>
                <w:b w:val="1"/>
                <w:bCs w:val="1"/>
                <w:color w:val="auto"/>
                <w:w w:val="98"/>
              </w:rPr>
              <w:t>Losses in AOCI</w:t>
            </w:r>
          </w:p>
        </w:tc>
        <w:tc>
          <w:tcPr>
            <w:tcW w:w="2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8"/>
              </w:rPr>
              <w:t>(Dollars in millions)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gridSpan w:val="4"/>
          </w:tcPr>
          <w:p>
            <w:pPr>
              <w:jc w:val="right"/>
              <w:ind w:right="51"/>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7"/>
                <w:szCs w:val="17"/>
                <w:color w:val="auto"/>
              </w:rPr>
            </w:pPr>
          </w:p>
        </w:tc>
        <w:tc>
          <w:tcPr>
            <w:tcW w:w="460" w:type="dxa"/>
            <w:vAlign w:val="bottom"/>
            <w:gridSpan w:val="2"/>
          </w:tcPr>
          <w:p>
            <w:pPr>
              <w:jc w:val="right"/>
              <w:ind w:right="291"/>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356</w:t>
            </w:r>
          </w:p>
        </w:tc>
        <w:tc>
          <w:tcPr>
            <w:tcW w:w="0" w:type="dxa"/>
            <w:vAlign w:val="bottom"/>
          </w:tcPr>
          <w:p>
            <w:pPr>
              <w:spacing w:after="0"/>
              <w:rPr>
                <w:sz w:val="1"/>
                <w:szCs w:val="1"/>
                <w:color w:val="auto"/>
              </w:rPr>
            </w:pPr>
          </w:p>
        </w:tc>
      </w:tr>
      <w:tr>
        <w:trPr>
          <w:trHeight w:val="207"/>
        </w:trPr>
        <w:tc>
          <w:tcPr>
            <w:tcW w:w="20" w:type="dxa"/>
            <w:vAlign w:val="bottom"/>
            <w:tcBorders>
              <w:bottom w:val="single" w:sz="8" w:color="2C6937"/>
            </w:tcBorders>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tcPr>
          <w:p>
            <w:pPr>
              <w:ind w:left="840"/>
              <w:spacing w:after="0"/>
              <w:rPr>
                <w:sz w:val="20"/>
                <w:szCs w:val="20"/>
                <w:color w:val="auto"/>
              </w:rPr>
            </w:pPr>
            <w:r>
              <w:rPr>
                <w:rFonts w:ascii="Arial" w:cs="Arial" w:eastAsia="Arial" w:hAnsi="Arial"/>
                <w:sz w:val="15"/>
                <w:szCs w:val="15"/>
                <w:color w:val="auto"/>
                <w:w w:val="97"/>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44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199"/>
        </w:trPr>
        <w:tc>
          <w:tcPr>
            <w:tcW w:w="28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2C6937"/>
            </w:tcBorders>
          </w:tcPr>
          <w:p>
            <w:pPr>
              <w:ind w:left="840"/>
              <w:spacing w:after="0"/>
              <w:rPr>
                <w:sz w:val="20"/>
                <w:szCs w:val="20"/>
                <w:color w:val="auto"/>
              </w:rPr>
            </w:pPr>
            <w:r>
              <w:rPr>
                <w:rFonts w:ascii="Arial" w:cs="Arial" w:eastAsia="Arial" w:hAnsi="Arial"/>
                <w:sz w:val="15"/>
                <w:szCs w:val="15"/>
                <w:color w:val="auto"/>
                <w:w w:val="97"/>
              </w:rPr>
              <w:t>(2)</w:t>
            </w:r>
          </w:p>
        </w:tc>
        <w:tc>
          <w:tcPr>
            <w:tcW w:w="120" w:type="dxa"/>
            <w:vAlign w:val="bottom"/>
            <w:gridSpan w:val="2"/>
          </w:tcPr>
          <w:p>
            <w:pPr>
              <w:spacing w:after="0"/>
              <w:rPr>
                <w:sz w:val="17"/>
                <w:szCs w:val="17"/>
                <w:color w:val="auto"/>
              </w:rPr>
            </w:pPr>
          </w:p>
        </w:tc>
        <w:tc>
          <w:tcPr>
            <w:tcW w:w="220" w:type="dxa"/>
            <w:vAlign w:val="bottom"/>
            <w:tcBorders>
              <w:bottom w:val="single" w:sz="8" w:color="2C6937"/>
            </w:tcBorders>
            <w:gridSpan w:val="2"/>
          </w:tcPr>
          <w:p>
            <w:pPr>
              <w:jc w:val="right"/>
              <w:ind w:right="51"/>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18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7"/>
                <w:szCs w:val="17"/>
                <w:color w:val="auto"/>
              </w:rPr>
            </w:pPr>
          </w:p>
        </w:tc>
        <w:tc>
          <w:tcPr>
            <w:tcW w:w="460" w:type="dxa"/>
            <w:vAlign w:val="bottom"/>
            <w:tcBorders>
              <w:bottom w:val="single" w:sz="8" w:color="2C6937"/>
            </w:tcBorders>
            <w:gridSpan w:val="2"/>
          </w:tcPr>
          <w:p>
            <w:pPr>
              <w:jc w:val="right"/>
              <w:ind w:right="291"/>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507</w:t>
            </w:r>
          </w:p>
        </w:tc>
        <w:tc>
          <w:tcPr>
            <w:tcW w:w="0" w:type="dxa"/>
            <w:vAlign w:val="bottom"/>
          </w:tcPr>
          <w:p>
            <w:pPr>
              <w:spacing w:after="0"/>
              <w:rPr>
                <w:sz w:val="1"/>
                <w:szCs w:val="1"/>
                <w:color w:val="auto"/>
              </w:rPr>
            </w:pPr>
          </w:p>
        </w:tc>
      </w:tr>
      <w:tr>
        <w:trPr>
          <w:trHeight w:val="20"/>
        </w:trPr>
        <w:tc>
          <w:tcPr>
            <w:tcW w:w="20" w:type="dxa"/>
            <w:vAlign w:val="bottom"/>
            <w:tcBorders>
              <w:bottom w:val="single" w:sz="8" w:color="2C6937"/>
            </w:tcBorders>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4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14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600" w:type="dxa"/>
            <w:vAlign w:val="bottom"/>
            <w:tcBorders>
              <w:bottom w:val="single" w:sz="8" w:color="2C6937"/>
            </w:tcBorders>
            <w:gridSpan w:val="8"/>
          </w:tcPr>
          <w:p>
            <w:pPr>
              <w:jc w:val="center"/>
              <w:ind w:left="787"/>
              <w:spacing w:after="0"/>
              <w:rPr>
                <w:sz w:val="20"/>
                <w:szCs w:val="20"/>
                <w:color w:val="auto"/>
              </w:rPr>
            </w:pPr>
            <w:r>
              <w:rPr>
                <w:rFonts w:ascii="Arial" w:cs="Arial" w:eastAsia="Arial" w:hAnsi="Arial"/>
                <w:sz w:val="14"/>
                <w:szCs w:val="14"/>
                <w:b w:val="1"/>
                <w:bCs w:val="1"/>
                <w:color w:val="auto"/>
                <w:w w:val="98"/>
              </w:rPr>
              <w:t>As of December 31, 2023</w:t>
            </w:r>
          </w:p>
        </w:tc>
        <w:tc>
          <w:tcPr>
            <w:tcW w:w="98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8"/>
              </w:rPr>
              <w:t>Total Amortized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Allowance for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Gross</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Gross</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8"/>
              </w:rPr>
              <w:t>Unrealized Gains</w:t>
            </w:r>
          </w:p>
        </w:tc>
        <w:tc>
          <w:tcPr>
            <w:tcW w:w="180" w:type="dxa"/>
            <w:vAlign w:val="bottom"/>
          </w:tcPr>
          <w:p>
            <w:pPr>
              <w:spacing w:after="0"/>
              <w:rPr>
                <w:sz w:val="13"/>
                <w:szCs w:val="13"/>
                <w:color w:val="auto"/>
              </w:rPr>
            </w:pPr>
          </w:p>
        </w:tc>
        <w:tc>
          <w:tcPr>
            <w:tcW w:w="10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Unrealized</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gridSpan w:val="3"/>
          </w:tcPr>
          <w:p>
            <w:pPr>
              <w:jc w:val="center"/>
              <w:ind w:right="360"/>
              <w:spacing w:after="0"/>
              <w:rPr>
                <w:sz w:val="20"/>
                <w:szCs w:val="20"/>
                <w:color w:val="auto"/>
              </w:rPr>
            </w:pPr>
            <w:r>
              <w:rPr>
                <w:rFonts w:ascii="Arial" w:cs="Arial" w:eastAsia="Arial" w:hAnsi="Arial"/>
                <w:sz w:val="14"/>
                <w:szCs w:val="14"/>
                <w:b w:val="1"/>
                <w:bCs w:val="1"/>
                <w:color w:val="auto"/>
                <w:w w:val="96"/>
              </w:rPr>
              <w:t>Cost</w:t>
            </w: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Credit Losses</w:t>
            </w: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in AOCI</w:t>
            </w:r>
          </w:p>
        </w:tc>
        <w:tc>
          <w:tcPr>
            <w:tcW w:w="1260" w:type="dxa"/>
            <w:vAlign w:val="bottom"/>
            <w:tcBorders>
              <w:bottom w:val="single" w:sz="8" w:color="2C6937"/>
            </w:tcBorders>
            <w:gridSpan w:val="3"/>
          </w:tcPr>
          <w:p>
            <w:pPr>
              <w:jc w:val="center"/>
              <w:ind w:right="80"/>
              <w:spacing w:after="0"/>
              <w:rPr>
                <w:sz w:val="20"/>
                <w:szCs w:val="20"/>
                <w:color w:val="auto"/>
              </w:rPr>
            </w:pPr>
            <w:r>
              <w:rPr>
                <w:rFonts w:ascii="Arial" w:cs="Arial" w:eastAsia="Arial" w:hAnsi="Arial"/>
                <w:sz w:val="14"/>
                <w:szCs w:val="14"/>
                <w:b w:val="1"/>
                <w:bCs w:val="1"/>
                <w:color w:val="auto"/>
                <w:w w:val="98"/>
              </w:rPr>
              <w:t>Losses in AOCI</w:t>
            </w:r>
          </w:p>
        </w:tc>
        <w:tc>
          <w:tcPr>
            <w:tcW w:w="2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6"/>
              </w:rPr>
              <w:t>(Dollars in millions)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ind w:left="840"/>
              <w:spacing w:after="0"/>
              <w:rPr>
                <w:sz w:val="20"/>
                <w:szCs w:val="20"/>
                <w:color w:val="auto"/>
              </w:rPr>
            </w:pPr>
            <w:r>
              <w:rPr>
                <w:rFonts w:ascii="Arial" w:cs="Arial" w:eastAsia="Arial" w:hAnsi="Arial"/>
                <w:sz w:val="15"/>
                <w:szCs w:val="15"/>
                <w:color w:val="auto"/>
              </w:rPr>
              <w:t>—</w:t>
            </w:r>
          </w:p>
        </w:tc>
        <w:tc>
          <w:tcPr>
            <w:tcW w:w="340" w:type="dxa"/>
            <w:vAlign w:val="bottom"/>
            <w:gridSpan w:val="4"/>
          </w:tcPr>
          <w:p>
            <w:pPr>
              <w:jc w:val="right"/>
              <w:ind w:right="51"/>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7"/>
                <w:szCs w:val="17"/>
                <w:color w:val="auto"/>
              </w:rPr>
            </w:pPr>
          </w:p>
        </w:tc>
        <w:tc>
          <w:tcPr>
            <w:tcW w:w="460" w:type="dxa"/>
            <w:vAlign w:val="bottom"/>
            <w:gridSpan w:val="2"/>
          </w:tcPr>
          <w:p>
            <w:pPr>
              <w:jc w:val="right"/>
              <w:ind w:right="271"/>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377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179</w:t>
            </w:r>
          </w:p>
        </w:tc>
        <w:tc>
          <w:tcPr>
            <w:tcW w:w="2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2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99"/>
        </w:trPr>
        <w:tc>
          <w:tcPr>
            <w:tcW w:w="28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w:t>
            </w:r>
          </w:p>
        </w:tc>
        <w:tc>
          <w:tcPr>
            <w:tcW w:w="340" w:type="dxa"/>
            <w:vAlign w:val="bottom"/>
            <w:gridSpan w:val="4"/>
          </w:tcPr>
          <w:p>
            <w:pPr>
              <w:jc w:val="right"/>
              <w:ind w:right="51"/>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7"/>
                <w:szCs w:val="17"/>
                <w:color w:val="auto"/>
              </w:rPr>
            </w:pPr>
          </w:p>
        </w:tc>
        <w:tc>
          <w:tcPr>
            <w:tcW w:w="460" w:type="dxa"/>
            <w:vAlign w:val="bottom"/>
            <w:gridSpan w:val="2"/>
          </w:tcPr>
          <w:p>
            <w:pPr>
              <w:jc w:val="right"/>
              <w:ind w:right="271"/>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ectPr>
          <w:pgSz w:w="11900" w:h="16838" w:orient="portrait"/>
          <w:cols w:equalWidth="0" w:num="2">
            <w:col w:w="4320" w:space="720"/>
            <w:col w:w="6200"/>
          </w:cols>
          <w:pgMar w:left="320" w:top="248" w:right="339" w:bottom="1440" w:gutter="0" w:footer="0" w:header="0"/>
          <w:type w:val="continuous"/>
        </w:sectPr>
      </w:pPr>
    </w:p>
    <w:p>
      <w:pPr>
        <w:ind w:right="80"/>
        <w:spacing w:after="0" w:line="263" w:lineRule="auto"/>
        <w:rPr>
          <w:sz w:val="20"/>
          <w:szCs w:val="20"/>
          <w:color w:val="auto"/>
        </w:rPr>
      </w:pPr>
      <w:r>
        <w:rPr>
          <w:rFonts w:ascii="Arial" w:cs="Arial" w:eastAsia="Arial" w:hAnsi="Arial"/>
          <w:sz w:val="16"/>
          <w:szCs w:val="16"/>
          <w:color w:val="auto"/>
        </w:rPr>
        <w:t>Agency securities consist of securities issued by us, Freddie Mac, or Ginnie Mae. The principal and interest on these securities are guaranteed by the issuing agency. We believe that the guaranty provided by the issuing agency, the support provided to the agencies by the U.S. government, the importance of the agencies to the liquidity and stability in the secondary mortgage market, and the long history of zero credit losses on agency mortgage-related securities are all indicators that there are currently no credit losses on these securities, even if the security is in an unrealized loss position. In addition, we generally hold these securities that are in an unrealized loss position to recovery. As a result, unless we intend to sell the security, we do not recognize an allowance for credit losses on agency mortgage-related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367030</wp:posOffset>
            </wp:positionV>
            <wp:extent cx="680593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9" w:name="page90"/>
    <w:bookmarkEnd w:id="89"/>
    <w:p>
      <w:pPr>
        <w:ind w:left="6080"/>
        <w:spacing w:after="0"/>
        <w:rPr>
          <w:sz w:val="20"/>
          <w:szCs w:val="20"/>
          <w:color w:val="auto"/>
        </w:rPr>
      </w:pPr>
      <w:r>
        <w:rPr>
          <w:rFonts w:ascii="Arial" w:cs="Arial" w:eastAsia="Arial" w:hAnsi="Arial"/>
          <w:sz w:val="14"/>
          <w:szCs w:val="14"/>
          <w:color w:val="05314D"/>
        </w:rPr>
        <w:t>Notes to Condensed Consolidated Financial Statements | Investments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780"/>
        <w:spacing w:after="0" w:line="293" w:lineRule="auto"/>
        <w:rPr>
          <w:sz w:val="20"/>
          <w:szCs w:val="20"/>
          <w:color w:val="auto"/>
        </w:rPr>
      </w:pPr>
      <w:r>
        <w:rPr>
          <w:rFonts w:ascii="Arial" w:cs="Arial" w:eastAsia="Arial" w:hAnsi="Arial"/>
          <w:sz w:val="16"/>
          <w:szCs w:val="16"/>
          <w:color w:val="auto"/>
        </w:rPr>
        <w:t>The following table displays additional information regarding gross unrealized losses and fair value by major security type for AFS securities in an unrealized loss position, excluding allowance for credit losses.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4"/>
          </w:tcPr>
          <w:p>
            <w:pPr>
              <w:jc w:val="center"/>
              <w:ind w:left="246"/>
              <w:spacing w:after="0"/>
              <w:rPr>
                <w:sz w:val="20"/>
                <w:szCs w:val="20"/>
                <w:color w:val="auto"/>
              </w:rPr>
            </w:pPr>
            <w:r>
              <w:rPr>
                <w:rFonts w:ascii="Arial" w:cs="Arial" w:eastAsia="Arial" w:hAnsi="Arial"/>
                <w:sz w:val="14"/>
                <w:szCs w:val="14"/>
                <w:b w:val="1"/>
                <w:bCs w:val="1"/>
                <w:color w:val="auto"/>
                <w:w w:val="97"/>
              </w:rPr>
              <w:t>As of</w:t>
            </w:r>
          </w:p>
        </w:tc>
        <w:tc>
          <w:tcPr>
            <w:tcW w:w="64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1820" w:type="dxa"/>
            <w:vAlign w:val="bottom"/>
            <w:tcBorders>
              <w:bottom w:val="single" w:sz="8" w:color="2C6937"/>
            </w:tcBorders>
            <w:gridSpan w:val="6"/>
          </w:tcPr>
          <w:p>
            <w:pPr>
              <w:ind w:left="140"/>
              <w:spacing w:after="0"/>
              <w:rPr>
                <w:sz w:val="20"/>
                <w:szCs w:val="20"/>
                <w:color w:val="auto"/>
              </w:rPr>
            </w:pPr>
            <w:r>
              <w:rPr>
                <w:rFonts w:ascii="Arial" w:cs="Arial" w:eastAsia="Arial" w:hAnsi="Arial"/>
                <w:sz w:val="14"/>
                <w:szCs w:val="14"/>
                <w:b w:val="1"/>
                <w:bCs w:val="1"/>
                <w:color w:val="auto"/>
              </w:rPr>
              <w:t>June 30, 2024</w:t>
            </w:r>
          </w:p>
        </w:tc>
        <w:tc>
          <w:tcPr>
            <w:tcW w:w="14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900" w:type="dxa"/>
            <w:vAlign w:val="bottom"/>
            <w:tcBorders>
              <w:bottom w:val="single" w:sz="8" w:color="2C6937"/>
            </w:tcBorders>
            <w:gridSpan w:val="6"/>
          </w:tcPr>
          <w:p>
            <w:pPr>
              <w:ind w:left="60"/>
              <w:spacing w:after="0"/>
              <w:rPr>
                <w:sz w:val="20"/>
                <w:szCs w:val="20"/>
                <w:color w:val="auto"/>
              </w:rPr>
            </w:pPr>
            <w:r>
              <w:rPr>
                <w:rFonts w:ascii="Arial" w:cs="Arial" w:eastAsia="Arial" w:hAnsi="Arial"/>
                <w:sz w:val="14"/>
                <w:szCs w:val="14"/>
                <w:b w:val="1"/>
                <w:bCs w:val="1"/>
                <w:color w:val="auto"/>
              </w:rPr>
              <w:t>December 31, 2023</w:t>
            </w:r>
          </w:p>
        </w:tc>
        <w:tc>
          <w:tcPr>
            <w:tcW w:w="26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180" w:type="dxa"/>
            <w:vAlign w:val="bottom"/>
          </w:tcPr>
          <w:p>
            <w:pPr>
              <w:spacing w:after="0"/>
              <w:rPr>
                <w:sz w:val="15"/>
                <w:szCs w:val="15"/>
                <w:color w:val="auto"/>
              </w:rPr>
            </w:pPr>
          </w:p>
        </w:tc>
        <w:tc>
          <w:tcPr>
            <w:tcW w:w="1940" w:type="dxa"/>
            <w:vAlign w:val="bottom"/>
            <w:gridSpan w:val="6"/>
          </w:tcPr>
          <w:p>
            <w:pPr>
              <w:jc w:val="right"/>
              <w:ind w:right="25"/>
              <w:spacing w:after="0"/>
              <w:rPr>
                <w:sz w:val="20"/>
                <w:szCs w:val="20"/>
                <w:color w:val="auto"/>
              </w:rPr>
            </w:pPr>
            <w:r>
              <w:rPr>
                <w:rFonts w:ascii="Arial" w:cs="Arial" w:eastAsia="Arial" w:hAnsi="Arial"/>
                <w:sz w:val="14"/>
                <w:szCs w:val="14"/>
                <w:b w:val="1"/>
                <w:bCs w:val="1"/>
                <w:color w:val="auto"/>
              </w:rPr>
              <w:t>Less Than 12 Consecutive</w:t>
            </w:r>
          </w:p>
        </w:tc>
        <w:tc>
          <w:tcPr>
            <w:tcW w:w="100" w:type="dxa"/>
            <w:vAlign w:val="bottom"/>
          </w:tcPr>
          <w:p>
            <w:pPr>
              <w:spacing w:after="0"/>
              <w:rPr>
                <w:sz w:val="15"/>
                <w:szCs w:val="15"/>
                <w:color w:val="auto"/>
              </w:rPr>
            </w:pPr>
          </w:p>
        </w:tc>
        <w:tc>
          <w:tcPr>
            <w:tcW w:w="1960" w:type="dxa"/>
            <w:vAlign w:val="bottom"/>
            <w:gridSpan w:val="6"/>
          </w:tcPr>
          <w:p>
            <w:pPr>
              <w:jc w:val="right"/>
              <w:ind w:right="46"/>
              <w:spacing w:after="0"/>
              <w:rPr>
                <w:sz w:val="20"/>
                <w:szCs w:val="20"/>
                <w:color w:val="auto"/>
              </w:rPr>
            </w:pPr>
            <w:r>
              <w:rPr>
                <w:rFonts w:ascii="Arial" w:cs="Arial" w:eastAsia="Arial" w:hAnsi="Arial"/>
                <w:sz w:val="14"/>
                <w:szCs w:val="14"/>
                <w:b w:val="1"/>
                <w:bCs w:val="1"/>
                <w:color w:val="auto"/>
              </w:rPr>
              <w:t>12 Consecutive Months or</w:t>
            </w:r>
          </w:p>
        </w:tc>
        <w:tc>
          <w:tcPr>
            <w:tcW w:w="100" w:type="dxa"/>
            <w:vAlign w:val="bottom"/>
          </w:tcPr>
          <w:p>
            <w:pPr>
              <w:spacing w:after="0"/>
              <w:rPr>
                <w:sz w:val="15"/>
                <w:szCs w:val="15"/>
                <w:color w:val="auto"/>
              </w:rPr>
            </w:pPr>
          </w:p>
        </w:tc>
        <w:tc>
          <w:tcPr>
            <w:tcW w:w="1920" w:type="dxa"/>
            <w:vAlign w:val="bottom"/>
            <w:gridSpan w:val="6"/>
          </w:tcPr>
          <w:p>
            <w:pPr>
              <w:jc w:val="right"/>
              <w:ind w:right="25"/>
              <w:spacing w:after="0"/>
              <w:rPr>
                <w:sz w:val="20"/>
                <w:szCs w:val="20"/>
                <w:color w:val="auto"/>
              </w:rPr>
            </w:pPr>
            <w:r>
              <w:rPr>
                <w:rFonts w:ascii="Arial" w:cs="Arial" w:eastAsia="Arial" w:hAnsi="Arial"/>
                <w:sz w:val="14"/>
                <w:szCs w:val="14"/>
                <w:b w:val="1"/>
                <w:bCs w:val="1"/>
                <w:color w:val="auto"/>
              </w:rPr>
              <w:t>Less Than 12 Consecutive</w:t>
            </w:r>
          </w:p>
        </w:tc>
        <w:tc>
          <w:tcPr>
            <w:tcW w:w="120" w:type="dxa"/>
            <w:vAlign w:val="bottom"/>
          </w:tcPr>
          <w:p>
            <w:pPr>
              <w:spacing w:after="0"/>
              <w:rPr>
                <w:sz w:val="15"/>
                <w:szCs w:val="15"/>
                <w:color w:val="auto"/>
              </w:rPr>
            </w:pPr>
          </w:p>
        </w:tc>
        <w:tc>
          <w:tcPr>
            <w:tcW w:w="1920" w:type="dxa"/>
            <w:vAlign w:val="bottom"/>
            <w:gridSpan w:val="6"/>
          </w:tcPr>
          <w:p>
            <w:pPr>
              <w:jc w:val="right"/>
              <w:ind w:right="23"/>
              <w:spacing w:after="0"/>
              <w:rPr>
                <w:sz w:val="20"/>
                <w:szCs w:val="20"/>
                <w:color w:val="auto"/>
              </w:rPr>
            </w:pPr>
            <w:r>
              <w:rPr>
                <w:rFonts w:ascii="Arial" w:cs="Arial" w:eastAsia="Arial" w:hAnsi="Arial"/>
                <w:sz w:val="14"/>
                <w:szCs w:val="14"/>
                <w:b w:val="1"/>
                <w:bCs w:val="1"/>
                <w:color w:val="auto"/>
              </w:rPr>
              <w:t>12 Consecutive Months or</w:t>
            </w: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3"/>
          </w:tcPr>
          <w:p>
            <w:pPr>
              <w:ind w:left="440"/>
              <w:spacing w:after="0"/>
              <w:rPr>
                <w:sz w:val="20"/>
                <w:szCs w:val="20"/>
                <w:color w:val="auto"/>
              </w:rPr>
            </w:pPr>
            <w:r>
              <w:rPr>
                <w:rFonts w:ascii="Arial" w:cs="Arial" w:eastAsia="Arial" w:hAnsi="Arial"/>
                <w:sz w:val="14"/>
                <w:szCs w:val="14"/>
                <w:b w:val="1"/>
                <w:bCs w:val="1"/>
                <w:color w:val="auto"/>
              </w:rPr>
              <w:t>Months</w:t>
            </w:r>
          </w:p>
        </w:tc>
        <w:tc>
          <w:tcPr>
            <w:tcW w:w="54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3"/>
          </w:tcPr>
          <w:p>
            <w:pPr>
              <w:jc w:val="right"/>
              <w:ind w:right="26"/>
              <w:spacing w:after="0"/>
              <w:rPr>
                <w:sz w:val="20"/>
                <w:szCs w:val="20"/>
                <w:color w:val="auto"/>
              </w:rPr>
            </w:pPr>
            <w:r>
              <w:rPr>
                <w:rFonts w:ascii="Arial" w:cs="Arial" w:eastAsia="Arial" w:hAnsi="Arial"/>
                <w:sz w:val="14"/>
                <w:szCs w:val="14"/>
                <w:b w:val="1"/>
                <w:bCs w:val="1"/>
                <w:color w:val="auto"/>
              </w:rPr>
              <w:t>Longer</w:t>
            </w:r>
          </w:p>
        </w:tc>
        <w:tc>
          <w:tcPr>
            <w:tcW w:w="64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3"/>
          </w:tcPr>
          <w:p>
            <w:pPr>
              <w:ind w:left="440"/>
              <w:spacing w:after="0"/>
              <w:rPr>
                <w:sz w:val="20"/>
                <w:szCs w:val="20"/>
                <w:color w:val="auto"/>
              </w:rPr>
            </w:pPr>
            <w:r>
              <w:rPr>
                <w:rFonts w:ascii="Arial" w:cs="Arial" w:eastAsia="Arial" w:hAnsi="Arial"/>
                <w:sz w:val="14"/>
                <w:szCs w:val="14"/>
                <w:b w:val="1"/>
                <w:bCs w:val="1"/>
                <w:color w:val="auto"/>
              </w:rPr>
              <w:t>Months</w:t>
            </w:r>
          </w:p>
        </w:tc>
        <w:tc>
          <w:tcPr>
            <w:tcW w:w="620" w:type="dxa"/>
            <w:vAlign w:val="bottom"/>
            <w:tcBorders>
              <w:bottom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gridSpan w:val="3"/>
          </w:tcPr>
          <w:p>
            <w:pPr>
              <w:jc w:val="right"/>
              <w:ind w:right="146"/>
              <w:spacing w:after="0"/>
              <w:rPr>
                <w:sz w:val="20"/>
                <w:szCs w:val="20"/>
                <w:color w:val="auto"/>
              </w:rPr>
            </w:pPr>
            <w:r>
              <w:rPr>
                <w:rFonts w:ascii="Arial" w:cs="Arial" w:eastAsia="Arial" w:hAnsi="Arial"/>
                <w:sz w:val="14"/>
                <w:szCs w:val="14"/>
                <w:b w:val="1"/>
                <w:bCs w:val="1"/>
                <w:color w:val="auto"/>
              </w:rPr>
              <w:t>Longer</w:t>
            </w:r>
          </w:p>
        </w:tc>
        <w:tc>
          <w:tcPr>
            <w:tcW w:w="5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3"/>
              </w:rPr>
              <w:t>Gross</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8"/>
              </w:rPr>
              <w:t>Gross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3"/>
              </w:rPr>
              <w:t>Gross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Unrealized</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5"/>
              </w:rPr>
              <w:t>Unrealized</w:t>
            </w:r>
          </w:p>
        </w:tc>
        <w:tc>
          <w:tcPr>
            <w:tcW w:w="780" w:type="dxa"/>
            <w:vAlign w:val="bottom"/>
            <w:gridSpan w:val="2"/>
            <w:vMerge w:val="restart"/>
          </w:tcPr>
          <w:p>
            <w:pPr>
              <w:jc w:val="right"/>
              <w:ind w:right="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Unrealized</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Unrealized</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7"/>
        </w:trPr>
        <w:tc>
          <w:tcPr>
            <w:tcW w:w="3180" w:type="dxa"/>
            <w:vAlign w:val="bottom"/>
          </w:tcPr>
          <w:p>
            <w:pPr>
              <w:spacing w:after="0"/>
              <w:rPr>
                <w:sz w:val="15"/>
                <w:szCs w:val="15"/>
                <w:color w:val="auto"/>
              </w:rPr>
            </w:pPr>
          </w:p>
        </w:tc>
        <w:tc>
          <w:tcPr>
            <w:tcW w:w="1160" w:type="dxa"/>
            <w:vAlign w:val="bottom"/>
            <w:tcBorders>
              <w:bottom w:val="single" w:sz="8" w:color="2C6937"/>
            </w:tcBorders>
            <w:gridSpan w:val="4"/>
          </w:tcPr>
          <w:p>
            <w:pPr>
              <w:jc w:val="center"/>
              <w:ind w:right="100"/>
              <w:spacing w:after="0"/>
              <w:rPr>
                <w:sz w:val="20"/>
                <w:szCs w:val="20"/>
                <w:color w:val="auto"/>
              </w:rPr>
            </w:pPr>
            <w:r>
              <w:rPr>
                <w:rFonts w:ascii="Arial" w:cs="Arial" w:eastAsia="Arial" w:hAnsi="Arial"/>
                <w:sz w:val="14"/>
                <w:szCs w:val="14"/>
                <w:b w:val="1"/>
                <w:bCs w:val="1"/>
                <w:color w:val="auto"/>
                <w:w w:val="98"/>
              </w:rPr>
              <w:t>Losses in AOCI</w:t>
            </w:r>
          </w:p>
        </w:tc>
        <w:tc>
          <w:tcPr>
            <w:tcW w:w="780" w:type="dxa"/>
            <w:vAlign w:val="bottom"/>
            <w:tcBorders>
              <w:bottom w:val="single" w:sz="8" w:color="2C6937"/>
            </w:tcBorders>
            <w:gridSpan w:val="2"/>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180" w:type="dxa"/>
            <w:vAlign w:val="bottom"/>
            <w:tcBorders>
              <w:bottom w:val="single" w:sz="8" w:color="2C6937"/>
            </w:tcBorders>
            <w:gridSpan w:val="4"/>
          </w:tcPr>
          <w:p>
            <w:pPr>
              <w:jc w:val="center"/>
              <w:ind w:right="100"/>
              <w:spacing w:after="0"/>
              <w:rPr>
                <w:sz w:val="20"/>
                <w:szCs w:val="20"/>
                <w:color w:val="auto"/>
              </w:rPr>
            </w:pPr>
            <w:r>
              <w:rPr>
                <w:rFonts w:ascii="Arial" w:cs="Arial" w:eastAsia="Arial" w:hAnsi="Arial"/>
                <w:sz w:val="14"/>
                <w:szCs w:val="14"/>
                <w:b w:val="1"/>
                <w:bCs w:val="1"/>
                <w:color w:val="auto"/>
                <w:w w:val="96"/>
              </w:rPr>
              <w:t>Losses in AOCI</w:t>
            </w:r>
          </w:p>
        </w:tc>
        <w:tc>
          <w:tcPr>
            <w:tcW w:w="780" w:type="dxa"/>
            <w:vAlign w:val="bottom"/>
            <w:tcBorders>
              <w:bottom w:val="single" w:sz="8" w:color="2C6937"/>
            </w:tcBorders>
            <w:gridSpan w:val="2"/>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4"/>
          </w:tcPr>
          <w:p>
            <w:pPr>
              <w:jc w:val="center"/>
              <w:ind w:right="100"/>
              <w:spacing w:after="0"/>
              <w:rPr>
                <w:sz w:val="20"/>
                <w:szCs w:val="20"/>
                <w:color w:val="auto"/>
              </w:rPr>
            </w:pPr>
            <w:r>
              <w:rPr>
                <w:rFonts w:ascii="Arial" w:cs="Arial" w:eastAsia="Arial" w:hAnsi="Arial"/>
                <w:sz w:val="14"/>
                <w:szCs w:val="14"/>
                <w:b w:val="1"/>
                <w:bCs w:val="1"/>
                <w:color w:val="auto"/>
                <w:w w:val="98"/>
              </w:rPr>
              <w:t>Losses in AOCI</w:t>
            </w:r>
          </w:p>
        </w:tc>
        <w:tc>
          <w:tcPr>
            <w:tcW w:w="76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4"/>
          </w:tcPr>
          <w:p>
            <w:pPr>
              <w:jc w:val="center"/>
              <w:ind w:right="100"/>
              <w:spacing w:after="0"/>
              <w:rPr>
                <w:sz w:val="20"/>
                <w:szCs w:val="20"/>
                <w:color w:val="auto"/>
              </w:rPr>
            </w:pPr>
            <w:r>
              <w:rPr>
                <w:rFonts w:ascii="Arial" w:cs="Arial" w:eastAsia="Arial" w:hAnsi="Arial"/>
                <w:sz w:val="14"/>
                <w:szCs w:val="14"/>
                <w:b w:val="1"/>
                <w:bCs w:val="1"/>
                <w:color w:val="auto"/>
                <w:w w:val="98"/>
              </w:rPr>
              <w:t>Losses in AOCI</w:t>
            </w:r>
          </w:p>
        </w:tc>
        <w:tc>
          <w:tcPr>
            <w:tcW w:w="760" w:type="dxa"/>
            <w:vAlign w:val="bottom"/>
            <w:tcBorders>
              <w:bottom w:val="single" w:sz="8" w:color="2C6937"/>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6"/>
              </w:rPr>
              <w:t>(Dollars in millions)</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Arial" w:cs="Arial" w:eastAsia="Arial" w:hAnsi="Arial"/>
                <w:sz w:val="15"/>
                <w:szCs w:val="15"/>
                <w:color w:val="auto"/>
              </w:rPr>
              <w:t>Agency securities</w:t>
            </w:r>
          </w:p>
        </w:tc>
        <w:tc>
          <w:tcPr>
            <w:tcW w:w="28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ind w:left="420"/>
              <w:spacing w:after="0"/>
              <w:rPr>
                <w:sz w:val="20"/>
                <w:szCs w:val="20"/>
                <w:color w:val="auto"/>
              </w:rPr>
            </w:pPr>
            <w:r>
              <w:rPr>
                <w:rFonts w:ascii="Arial" w:cs="Arial" w:eastAsia="Arial" w:hAnsi="Arial"/>
                <w:sz w:val="15"/>
                <w:szCs w:val="15"/>
                <w:b w:val="1"/>
                <w:bCs w:val="1"/>
                <w:color w:val="auto"/>
              </w:rPr>
              <w:t>(1)</w:t>
            </w:r>
          </w:p>
        </w:tc>
        <w:tc>
          <w:tcPr>
            <w:tcW w:w="240" w:type="dxa"/>
            <w:vAlign w:val="bottom"/>
          </w:tcPr>
          <w:p>
            <w:pPr>
              <w:spacing w:after="0"/>
              <w:rPr>
                <w:sz w:val="17"/>
                <w:szCs w:val="17"/>
                <w:color w:val="auto"/>
              </w:rPr>
            </w:pPr>
          </w:p>
        </w:tc>
        <w:tc>
          <w:tcPr>
            <w:tcW w:w="240" w:type="dxa"/>
            <w:vAlign w:val="bottom"/>
          </w:tcPr>
          <w:p>
            <w:pPr>
              <w:jc w:val="right"/>
              <w:ind w:right="46"/>
              <w:spacing w:after="0"/>
              <w:rPr>
                <w:sz w:val="20"/>
                <w:szCs w:val="20"/>
                <w:color w:val="auto"/>
              </w:rPr>
            </w:pPr>
            <w:r>
              <w:rPr>
                <w:rFonts w:ascii="Arial" w:cs="Arial" w:eastAsia="Arial" w:hAnsi="Arial"/>
                <w:sz w:val="15"/>
                <w:szCs w:val="15"/>
                <w:b w:val="1"/>
                <w:bCs w:val="1"/>
                <w:color w:val="auto"/>
              </w:rPr>
              <w:t>$</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41</w:t>
            </w:r>
          </w:p>
        </w:tc>
        <w:tc>
          <w:tcPr>
            <w:tcW w:w="40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center"/>
              <w:ind w:left="226"/>
              <w:spacing w:after="0"/>
              <w:rPr>
                <w:sz w:val="20"/>
                <w:szCs w:val="20"/>
                <w:color w:val="auto"/>
              </w:rPr>
            </w:pPr>
            <w:r>
              <w:rPr>
                <w:rFonts w:ascii="Arial" w:cs="Arial" w:eastAsia="Arial" w:hAnsi="Arial"/>
                <w:sz w:val="15"/>
                <w:szCs w:val="15"/>
                <w:b w:val="1"/>
                <w:bCs w:val="1"/>
                <w:color w:val="auto"/>
                <w:w w:val="97"/>
              </w:rPr>
              <w:t>(28)</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ind w:right="6"/>
              <w:spacing w:after="0"/>
              <w:rPr>
                <w:sz w:val="20"/>
                <w:szCs w:val="20"/>
                <w:color w:val="auto"/>
              </w:rPr>
            </w:pPr>
            <w:r>
              <w:rPr>
                <w:rFonts w:ascii="Arial" w:cs="Arial" w:eastAsia="Arial" w:hAnsi="Arial"/>
                <w:sz w:val="15"/>
                <w:szCs w:val="15"/>
                <w:b w:val="1"/>
                <w:bCs w:val="1"/>
                <w:color w:val="auto"/>
              </w:rPr>
              <w:t>238</w:t>
            </w:r>
          </w:p>
        </w:tc>
        <w:tc>
          <w:tcPr>
            <w:tcW w:w="3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ind w:left="420"/>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66</w:t>
            </w: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center"/>
              <w:ind w:left="246"/>
              <w:spacing w:after="0"/>
              <w:rPr>
                <w:sz w:val="20"/>
                <w:szCs w:val="20"/>
                <w:color w:val="auto"/>
              </w:rPr>
            </w:pPr>
            <w:r>
              <w:rPr>
                <w:rFonts w:ascii="Arial" w:cs="Arial" w:eastAsia="Arial" w:hAnsi="Arial"/>
                <w:sz w:val="15"/>
                <w:szCs w:val="15"/>
                <w:color w:val="auto"/>
              </w:rPr>
              <w:t>(26)</w:t>
            </w:r>
          </w:p>
        </w:tc>
        <w:tc>
          <w:tcPr>
            <w:tcW w:w="240" w:type="dxa"/>
            <w:vAlign w:val="bottom"/>
          </w:tcPr>
          <w:p>
            <w:pPr>
              <w:spacing w:after="0"/>
              <w:rPr>
                <w:sz w:val="17"/>
                <w:szCs w:val="17"/>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208"/>
        </w:trPr>
        <w:tc>
          <w:tcPr>
            <w:tcW w:w="3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mortgage-related securities</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ind w:left="42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center"/>
              <w:ind w:left="246"/>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ind w:left="4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center"/>
              <w:ind w:left="286"/>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180" w:type="dxa"/>
            <w:vAlign w:val="bottom"/>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ind w:left="420"/>
              <w:spacing w:after="0"/>
              <w:rPr>
                <w:sz w:val="20"/>
                <w:szCs w:val="20"/>
                <w:color w:val="auto"/>
              </w:rPr>
            </w:pPr>
            <w:r>
              <w:rPr>
                <w:rFonts w:ascii="Arial" w:cs="Arial" w:eastAsia="Arial" w:hAnsi="Arial"/>
                <w:sz w:val="15"/>
                <w:szCs w:val="15"/>
                <w:b w:val="1"/>
                <w:bCs w:val="1"/>
                <w:color w:val="auto"/>
              </w:rPr>
              <w:t>(1)</w:t>
            </w:r>
          </w:p>
        </w:tc>
        <w:tc>
          <w:tcPr>
            <w:tcW w:w="240" w:type="dxa"/>
            <w:vAlign w:val="bottom"/>
          </w:tcPr>
          <w:p>
            <w:pPr>
              <w:spacing w:after="0"/>
              <w:rPr>
                <w:sz w:val="17"/>
                <w:szCs w:val="17"/>
                <w:color w:val="auto"/>
              </w:rPr>
            </w:pPr>
          </w:p>
        </w:tc>
        <w:tc>
          <w:tcPr>
            <w:tcW w:w="240" w:type="dxa"/>
            <w:vAlign w:val="bottom"/>
          </w:tcPr>
          <w:p>
            <w:pPr>
              <w:jc w:val="right"/>
              <w:ind w:right="46"/>
              <w:spacing w:after="0"/>
              <w:rPr>
                <w:sz w:val="20"/>
                <w:szCs w:val="20"/>
                <w:color w:val="auto"/>
              </w:rPr>
            </w:pPr>
            <w:r>
              <w:rPr>
                <w:rFonts w:ascii="Arial" w:cs="Arial" w:eastAsia="Arial" w:hAnsi="Arial"/>
                <w:sz w:val="15"/>
                <w:szCs w:val="15"/>
                <w:b w:val="1"/>
                <w:bCs w:val="1"/>
                <w:color w:val="auto"/>
              </w:rPr>
              <w:t>$</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center"/>
              <w:ind w:left="226"/>
              <w:spacing w:after="0"/>
              <w:rPr>
                <w:sz w:val="20"/>
                <w:szCs w:val="20"/>
                <w:color w:val="auto"/>
              </w:rPr>
            </w:pPr>
            <w:r>
              <w:rPr>
                <w:rFonts w:ascii="Arial" w:cs="Arial" w:eastAsia="Arial" w:hAnsi="Arial"/>
                <w:sz w:val="15"/>
                <w:szCs w:val="15"/>
                <w:b w:val="1"/>
                <w:bCs w:val="1"/>
                <w:color w:val="auto"/>
                <w:w w:val="97"/>
              </w:rPr>
              <w:t>(28)</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ind w:right="6"/>
              <w:spacing w:after="0"/>
              <w:rPr>
                <w:sz w:val="20"/>
                <w:szCs w:val="20"/>
                <w:color w:val="auto"/>
              </w:rPr>
            </w:pPr>
            <w:r>
              <w:rPr>
                <w:rFonts w:ascii="Arial" w:cs="Arial" w:eastAsia="Arial" w:hAnsi="Arial"/>
                <w:sz w:val="15"/>
                <w:szCs w:val="15"/>
                <w:b w:val="1"/>
                <w:bCs w:val="1"/>
                <w:color w:val="auto"/>
              </w:rPr>
              <w:t>238</w:t>
            </w:r>
          </w:p>
        </w:tc>
        <w:tc>
          <w:tcPr>
            <w:tcW w:w="3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ind w:left="420"/>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66</w:t>
            </w: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center"/>
              <w:ind w:left="246"/>
              <w:spacing w:after="0"/>
              <w:rPr>
                <w:sz w:val="20"/>
                <w:szCs w:val="20"/>
                <w:color w:val="auto"/>
              </w:rPr>
            </w:pPr>
            <w:r>
              <w:rPr>
                <w:rFonts w:ascii="Arial" w:cs="Arial" w:eastAsia="Arial" w:hAnsi="Arial"/>
                <w:sz w:val="15"/>
                <w:szCs w:val="15"/>
                <w:color w:val="auto"/>
              </w:rPr>
              <w:t>(26)</w:t>
            </w:r>
          </w:p>
        </w:tc>
        <w:tc>
          <w:tcPr>
            <w:tcW w:w="240" w:type="dxa"/>
            <w:vAlign w:val="bottom"/>
          </w:tcPr>
          <w:p>
            <w:pPr>
              <w:spacing w:after="0"/>
              <w:rPr>
                <w:sz w:val="17"/>
                <w:szCs w:val="17"/>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20"/>
        </w:trPr>
        <w:tc>
          <w:tcPr>
            <w:tcW w:w="31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There were no sales of AFS securities in the first half of 2024 or the first half of 2023. As a result, no gross realized gains (losses) or proceeds from sales were recognized in either period.</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We held no securities classified as held-to-maturity as of June 30, 2024 or December 31, 2023.</w:t>
      </w:r>
    </w:p>
    <w:p>
      <w:pPr>
        <w:spacing w:after="0" w:line="196"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7. Financial Guarantees</w:t>
      </w:r>
    </w:p>
    <w:p>
      <w:pPr>
        <w:spacing w:after="0" w:line="67"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recognize a guaranty obligation for our obligation to stand ready to perform on our guarantees to unconsolidated trusts and other guaranty arrangements. These off-balance sheet guarantees expose us to credit losses primarily relating to the unpaid principal balance of our unconsolidated Fannie Mae MBS and other financial guarantees. The maximum remaining contractual term of our guarantees is 29 years; however, the actual term of each guaranty may be significantly less than the contractual term based on the prepayment characteristics of the related mortgage loans. We measure our guaranty reserve for estimated credit losses for off-balance sheet exposures over the contractual period for which they are exposed to the credit risk, unless that obligation is unconditionally cancellable by the issuer.</w:t>
      </w:r>
    </w:p>
    <w:p>
      <w:pPr>
        <w:spacing w:after="0" w:line="5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the guarantor of structured securities backed in whole or in part by Freddie Mac-issued securities, we extend our guaranty to the underlying Freddie Mac securities in our resecuritization trusts. However, Freddie Mac continues to guarantee the payment of principal and interest on the underlying Freddie Mac securities that we have resecuritized. When we began issuing UMBS, we entered into an indemnification agreement under which Freddie Mac agreed to indemnify us for losses caused by its failure to meet its payment or other specified obligations under the trust agreements pursuant to which the underlying resecuritized securities were issued. As a result, and due to the funding commitment available to Freddie Mac through its senior preferred stock purchase agreement with Treasury, we have concluded that the associated credit risk is negligible. Accordingly, we exclude from the following table Freddie Mac securities backing unconsolidated Fannie Mae-issued structured securities of $208.3 billion and $215.6 billion as of June 30, 2024 and December 31, 2023, respectively.</w:t>
      </w:r>
    </w:p>
    <w:p>
      <w:pPr>
        <w:spacing w:after="0" w:line="4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following table displays our off-balance sheet maximum exposure, guaranty obligation recognized in our condensed consolidated balance sheets and the potential maximum recovery from third parties through available credit enhancements and recourse related to our financial guarantees.</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6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r>
      <w:tr>
        <w:trPr>
          <w:trHeight w:val="186"/>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4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June 30, 2024</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December 31, 2023</w:t>
            </w: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r>
      <w:tr>
        <w:trPr>
          <w:trHeight w:val="176"/>
        </w:trPr>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5"/>
                <w:szCs w:val="15"/>
                <w:color w:val="auto"/>
              </w:rPr>
            </w:pPr>
          </w:p>
        </w:tc>
        <w:tc>
          <w:tcPr>
            <w:tcW w:w="960" w:type="dxa"/>
            <w:vAlign w:val="bottom"/>
          </w:tcPr>
          <w:p>
            <w:pPr>
              <w:jc w:val="right"/>
              <w:ind w:right="166"/>
              <w:spacing w:after="0"/>
              <w:rPr>
                <w:sz w:val="20"/>
                <w:szCs w:val="20"/>
                <w:color w:val="auto"/>
              </w:rPr>
            </w:pPr>
            <w:r>
              <w:rPr>
                <w:rFonts w:ascii="Arial" w:cs="Arial" w:eastAsia="Arial" w:hAnsi="Arial"/>
                <w:sz w:val="14"/>
                <w:szCs w:val="14"/>
                <w:b w:val="1"/>
                <w:bCs w:val="1"/>
                <w:color w:val="auto"/>
              </w:rPr>
              <w:t>Maximum</w:t>
            </w:r>
          </w:p>
        </w:tc>
      </w:tr>
      <w:tr>
        <w:trPr>
          <w:trHeight w:val="205"/>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Exposure</w:t>
            </w: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Recovery</w:t>
            </w:r>
            <w:r>
              <w:rPr>
                <w:rFonts w:ascii="Arial" w:cs="Arial" w:eastAsia="Arial" w:hAnsi="Arial"/>
                <w:sz w:val="17"/>
                <w:szCs w:val="17"/>
                <w:b w:val="1"/>
                <w:bCs w:val="1"/>
                <w:color w:val="auto"/>
                <w:w w:val="93"/>
                <w:vertAlign w:val="superscript"/>
              </w:rPr>
              <w:t>(1)</w:t>
            </w: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Exposure</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26"/>
              <w:spacing w:after="0"/>
              <w:rPr>
                <w:sz w:val="20"/>
                <w:szCs w:val="20"/>
                <w:color w:val="auto"/>
              </w:rPr>
            </w:pPr>
            <w:r>
              <w:rPr>
                <w:rFonts w:ascii="Arial" w:cs="Arial" w:eastAsia="Arial" w:hAnsi="Arial"/>
                <w:sz w:val="14"/>
                <w:szCs w:val="14"/>
                <w:b w:val="1"/>
                <w:bCs w:val="1"/>
                <w:color w:val="auto"/>
                <w:w w:val="96"/>
              </w:rPr>
              <w:t>Recovery</w:t>
            </w:r>
            <w:r>
              <w:rPr>
                <w:rFonts w:ascii="Arial" w:cs="Arial" w:eastAsia="Arial" w:hAnsi="Arial"/>
                <w:sz w:val="17"/>
                <w:szCs w:val="17"/>
                <w:b w:val="1"/>
                <w:bCs w:val="1"/>
                <w:color w:val="auto"/>
                <w:w w:val="96"/>
                <w:vertAlign w:val="superscript"/>
              </w:rPr>
              <w:t>(1)</w:t>
            </w:r>
          </w:p>
        </w:tc>
      </w:tr>
      <w:tr>
        <w:trPr>
          <w:trHeight w:val="185"/>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4"/>
          </w:tcPr>
          <w:p>
            <w:pPr>
              <w:jc w:val="right"/>
              <w:ind w:right="386"/>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4"/>
        </w:trPr>
        <w:tc>
          <w:tcPr>
            <w:tcW w:w="4280" w:type="dxa"/>
            <w:vAlign w:val="bottom"/>
            <w:gridSpan w:val="2"/>
          </w:tcPr>
          <w:p>
            <w:pPr>
              <w:ind w:left="20"/>
              <w:spacing w:after="0"/>
              <w:rPr>
                <w:sz w:val="20"/>
                <w:szCs w:val="20"/>
                <w:color w:val="auto"/>
              </w:rPr>
            </w:pPr>
            <w:r>
              <w:rPr>
                <w:rFonts w:ascii="Arial" w:cs="Arial" w:eastAsia="Arial" w:hAnsi="Arial"/>
                <w:sz w:val="15"/>
                <w:szCs w:val="15"/>
                <w:color w:val="auto"/>
              </w:rPr>
              <w:t>Unconsolidated Fannie Mae MBS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2,628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7"/>
              <w:spacing w:after="0"/>
              <w:rPr>
                <w:sz w:val="20"/>
                <w:szCs w:val="20"/>
                <w:color w:val="auto"/>
              </w:rPr>
            </w:pPr>
            <w:r>
              <w:rPr>
                <w:rFonts w:ascii="Arial" w:cs="Arial" w:eastAsia="Arial" w:hAnsi="Arial"/>
                <w:sz w:val="15"/>
                <w:szCs w:val="15"/>
                <w:b w:val="1"/>
                <w:bCs w:val="1"/>
                <w:color w:val="auto"/>
              </w:rPr>
              <w:t>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2,569</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2,778</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2,713</w:t>
            </w:r>
          </w:p>
        </w:tc>
      </w:tr>
      <w:tr>
        <w:trPr>
          <w:trHeight w:val="226"/>
        </w:trPr>
        <w:tc>
          <w:tcPr>
            <w:tcW w:w="4180" w:type="dxa"/>
            <w:vAlign w:val="bottom"/>
            <w:tcBorders>
              <w:bottom w:val="single" w:sz="8" w:color="2C6937"/>
            </w:tcBorders>
          </w:tcPr>
          <w:p>
            <w:pPr>
              <w:ind w:left="20"/>
              <w:spacing w:after="0" w:line="226" w:lineRule="exact"/>
              <w:rPr>
                <w:sz w:val="20"/>
                <w:szCs w:val="20"/>
                <w:color w:val="auto"/>
              </w:rPr>
            </w:pPr>
            <w:r>
              <w:rPr>
                <w:rFonts w:ascii="Arial" w:cs="Arial" w:eastAsia="Arial" w:hAnsi="Arial"/>
                <w:sz w:val="15"/>
                <w:szCs w:val="15"/>
                <w:color w:val="auto"/>
              </w:rPr>
              <w:t>Other guaranty arrangements</w:t>
            </w:r>
            <w:r>
              <w:rPr>
                <w:rFonts w:ascii="Arial" w:cs="Arial" w:eastAsia="Arial" w:hAnsi="Arial"/>
                <w:sz w:val="20"/>
                <w:szCs w:val="20"/>
                <w:color w:val="auto"/>
                <w:vertAlign w:val="superscript"/>
              </w:rPr>
              <w:t>(2)</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9,009</w:t>
            </w:r>
          </w:p>
        </w:tc>
        <w:tc>
          <w:tcPr>
            <w:tcW w:w="10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61</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1,942</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9,154</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1,967</w:t>
            </w:r>
          </w:p>
        </w:tc>
      </w:tr>
      <w:tr>
        <w:trPr>
          <w:trHeight w:val="199"/>
        </w:trPr>
        <w:tc>
          <w:tcPr>
            <w:tcW w:w="4280" w:type="dxa"/>
            <w:vAlign w:val="bottom"/>
            <w:gridSpan w:val="2"/>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11,637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7"/>
              <w:spacing w:after="0"/>
              <w:rPr>
                <w:sz w:val="20"/>
                <w:szCs w:val="20"/>
                <w:color w:val="auto"/>
              </w:rPr>
            </w:pPr>
            <w:r>
              <w:rPr>
                <w:rFonts w:ascii="Arial" w:cs="Arial" w:eastAsia="Arial" w:hAnsi="Arial"/>
                <w:sz w:val="15"/>
                <w:szCs w:val="15"/>
                <w:b w:val="1"/>
                <w:bCs w:val="1"/>
                <w:color w:val="auto"/>
              </w:rPr>
              <w:t>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4,511</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11,932</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4,680</w:t>
            </w:r>
          </w:p>
        </w:tc>
      </w:tr>
      <w:tr>
        <w:trPr>
          <w:trHeight w:val="20"/>
        </w:trPr>
        <w:tc>
          <w:tcPr>
            <w:tcW w:w="4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hanging="237"/>
        <w:spacing w:after="0" w:line="226" w:lineRule="auto"/>
        <w:tabs>
          <w:tab w:leader="none" w:pos="233"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Recoverability of such credit enhancements and recourse is subject to, among other factors, the ability of our mortgage insurers and the U.S. government, as a financial guarantor, to meet their obligations to us. For information on our mortgage insurers, see “Note 11, Concentrations of Credit Risk.”</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Primarily consists of credit enhancements and long-term standby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364490</wp:posOffset>
            </wp:positionV>
            <wp:extent cx="680593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0" w:name="page91"/>
    <w:bookmarkEnd w:id="90"/>
    <w:p>
      <w:pPr>
        <w:ind w:left="5640"/>
        <w:spacing w:after="0"/>
        <w:rPr>
          <w:sz w:val="20"/>
          <w:szCs w:val="20"/>
          <w:color w:val="auto"/>
        </w:rPr>
      </w:pPr>
      <w:r>
        <w:rPr>
          <w:rFonts w:ascii="Arial" w:cs="Arial" w:eastAsia="Arial" w:hAnsi="Arial"/>
          <w:sz w:val="13"/>
          <w:szCs w:val="13"/>
          <w:color w:val="05314D"/>
        </w:rPr>
        <w:t>Notes to Condensed Consolidated Financial Statements | Short-Term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8. Short-Term and Long-Term Debt</w:t>
      </w:r>
    </w:p>
    <w:p>
      <w:pPr>
        <w:spacing w:after="0" w:line="12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Short-Term Debt</w:t>
      </w:r>
    </w:p>
    <w:p>
      <w:pPr>
        <w:spacing w:after="0" w:line="6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following table displays our outstanding short-term debt (debt with an original contractual maturity of one year or less) and weighted-average interest rates of this debt.</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8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tcPr>
          <w:p>
            <w:pPr>
              <w:spacing w:after="0"/>
              <w:rPr>
                <w:sz w:val="16"/>
                <w:szCs w:val="16"/>
                <w:color w:val="auto"/>
              </w:rPr>
            </w:pPr>
          </w:p>
        </w:tc>
        <w:tc>
          <w:tcPr>
            <w:tcW w:w="1900" w:type="dxa"/>
            <w:vAlign w:val="bottom"/>
            <w:tcBorders>
              <w:bottom w:val="single" w:sz="8" w:color="2C6937"/>
            </w:tcBorders>
            <w:gridSpan w:val="3"/>
          </w:tcPr>
          <w:p>
            <w:pPr>
              <w:jc w:val="center"/>
              <w:ind w:left="1270"/>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tcPr>
          <w:p>
            <w:pPr>
              <w:spacing w:after="0"/>
              <w:rPr>
                <w:sz w:val="16"/>
                <w:szCs w:val="16"/>
                <w:color w:val="auto"/>
              </w:rPr>
            </w:pPr>
          </w:p>
        </w:tc>
      </w:tr>
      <w:tr>
        <w:trPr>
          <w:trHeight w:val="186"/>
        </w:trPr>
        <w:tc>
          <w:tcPr>
            <w:tcW w:w="48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880" w:type="dxa"/>
            <w:vAlign w:val="bottom"/>
            <w:tcBorders>
              <w:bottom w:val="single" w:sz="8" w:color="2C6937"/>
            </w:tcBorders>
            <w:gridSpan w:val="2"/>
          </w:tcPr>
          <w:p>
            <w:pPr>
              <w:ind w:left="880"/>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880" w:type="dxa"/>
            <w:vAlign w:val="bottom"/>
            <w:tcBorders>
              <w:bottom w:val="single" w:sz="8" w:color="2C6937"/>
            </w:tcBorders>
            <w:gridSpan w:val="2"/>
          </w:tcPr>
          <w:p>
            <w:pPr>
              <w:jc w:val="right"/>
              <w:ind w:right="868"/>
              <w:spacing w:after="0"/>
              <w:rPr>
                <w:sz w:val="20"/>
                <w:szCs w:val="20"/>
                <w:color w:val="auto"/>
              </w:rPr>
            </w:pPr>
            <w:r>
              <w:rPr>
                <w:rFonts w:ascii="Arial" w:cs="Arial" w:eastAsia="Arial" w:hAnsi="Arial"/>
                <w:sz w:val="14"/>
                <w:szCs w:val="14"/>
                <w:b w:val="1"/>
                <w:bCs w:val="1"/>
                <w:color w:val="auto"/>
              </w:rPr>
              <w:t>December 31, 2023</w:t>
            </w:r>
          </w:p>
        </w:tc>
      </w:tr>
      <w:tr>
        <w:trPr>
          <w:trHeight w:val="165"/>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Weighted- Average</w:t>
            </w: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Weighted- Average</w:t>
            </w:r>
          </w:p>
        </w:tc>
      </w:tr>
      <w:tr>
        <w:trPr>
          <w:trHeight w:val="215"/>
        </w:trPr>
        <w:tc>
          <w:tcPr>
            <w:tcW w:w="48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320" w:type="dxa"/>
            <w:vAlign w:val="bottom"/>
            <w:tcBorders>
              <w:bottom w:val="single" w:sz="8" w:color="2C6937"/>
            </w:tcBorders>
          </w:tcPr>
          <w:p>
            <w:pPr>
              <w:jc w:val="right"/>
              <w:ind w:right="348"/>
              <w:spacing w:after="0"/>
              <w:rPr>
                <w:sz w:val="20"/>
                <w:szCs w:val="20"/>
                <w:color w:val="auto"/>
              </w:rPr>
            </w:pPr>
            <w:r>
              <w:rPr>
                <w:rFonts w:ascii="Arial" w:cs="Arial" w:eastAsia="Arial" w:hAnsi="Arial"/>
                <w:sz w:val="14"/>
                <w:szCs w:val="14"/>
                <w:b w:val="1"/>
                <w:bCs w:val="1"/>
                <w:color w:val="auto"/>
              </w:rPr>
              <w:t>Outstanding</w:t>
            </w:r>
          </w:p>
        </w:tc>
        <w:tc>
          <w:tcPr>
            <w:tcW w:w="1900" w:type="dxa"/>
            <w:vAlign w:val="bottom"/>
            <w:tcBorders>
              <w:bottom w:val="single" w:sz="8" w:color="2C6937"/>
            </w:tcBorders>
            <w:gridSpan w:val="3"/>
          </w:tcPr>
          <w:p>
            <w:pPr>
              <w:jc w:val="center"/>
              <w:ind w:right="320"/>
              <w:spacing w:after="0"/>
              <w:rPr>
                <w:sz w:val="20"/>
                <w:szCs w:val="20"/>
                <w:color w:val="auto"/>
              </w:rPr>
            </w:pPr>
            <w:r>
              <w:rPr>
                <w:rFonts w:ascii="Arial" w:cs="Arial" w:eastAsia="Arial" w:hAnsi="Arial"/>
                <w:sz w:val="14"/>
                <w:szCs w:val="14"/>
                <w:b w:val="1"/>
                <w:bCs w:val="1"/>
                <w:color w:val="auto"/>
                <w:w w:val="99"/>
              </w:rPr>
              <w:t>Interest Rate</w:t>
            </w:r>
            <w:r>
              <w:rPr>
                <w:rFonts w:ascii="Arial" w:cs="Arial" w:eastAsia="Arial" w:hAnsi="Arial"/>
                <w:sz w:val="8"/>
                <w:szCs w:val="8"/>
                <w:b w:val="1"/>
                <w:bCs w:val="1"/>
                <w:color w:val="auto"/>
                <w:w w:val="99"/>
              </w:rPr>
              <w:t>(1)</w:t>
            </w:r>
          </w:p>
        </w:tc>
        <w:tc>
          <w:tcPr>
            <w:tcW w:w="1320" w:type="dxa"/>
            <w:vAlign w:val="bottom"/>
            <w:tcBorders>
              <w:bottom w:val="single" w:sz="8" w:color="2C6937"/>
            </w:tcBorders>
          </w:tcPr>
          <w:p>
            <w:pPr>
              <w:jc w:val="right"/>
              <w:ind w:right="348"/>
              <w:spacing w:after="0"/>
              <w:rPr>
                <w:sz w:val="20"/>
                <w:szCs w:val="20"/>
                <w:color w:val="auto"/>
              </w:rPr>
            </w:pPr>
            <w:r>
              <w:rPr>
                <w:rFonts w:ascii="Arial" w:cs="Arial" w:eastAsia="Arial" w:hAnsi="Arial"/>
                <w:sz w:val="14"/>
                <w:szCs w:val="14"/>
                <w:b w:val="1"/>
                <w:bCs w:val="1"/>
                <w:color w:val="auto"/>
              </w:rPr>
              <w:t>Outstanding</w:t>
            </w: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Interest Rate</w:t>
            </w:r>
            <w:r>
              <w:rPr>
                <w:rFonts w:ascii="Arial" w:cs="Arial" w:eastAsia="Arial" w:hAnsi="Arial"/>
                <w:sz w:val="8"/>
                <w:szCs w:val="8"/>
                <w:b w:val="1"/>
                <w:bCs w:val="1"/>
                <w:color w:val="auto"/>
                <w:w w:val="99"/>
              </w:rPr>
              <w:t>(1)</w:t>
            </w:r>
          </w:p>
        </w:tc>
      </w:tr>
      <w:tr>
        <w:trPr>
          <w:trHeight w:val="185"/>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1560" w:type="dxa"/>
            <w:vAlign w:val="bottom"/>
          </w:tcPr>
          <w:p>
            <w:pPr>
              <w:spacing w:after="0"/>
              <w:rPr>
                <w:sz w:val="16"/>
                <w:szCs w:val="16"/>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5"/>
                <w:szCs w:val="15"/>
                <w:color w:val="auto"/>
              </w:rPr>
              <w:t>Short-term debt of Fannie Mae</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88"/>
              <w:spacing w:after="0"/>
              <w:rPr>
                <w:sz w:val="20"/>
                <w:szCs w:val="20"/>
                <w:color w:val="auto"/>
              </w:rPr>
            </w:pPr>
            <w:r>
              <w:rPr>
                <w:rFonts w:ascii="Arial" w:cs="Arial" w:eastAsia="Arial" w:hAnsi="Arial"/>
                <w:sz w:val="15"/>
                <w:szCs w:val="15"/>
                <w:b w:val="1"/>
                <w:bCs w:val="1"/>
                <w:color w:val="auto"/>
              </w:rPr>
              <w:t>12,008</w:t>
            </w:r>
          </w:p>
        </w:tc>
        <w:tc>
          <w:tcPr>
            <w:tcW w:w="190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 xml:space="preserve">5.30 %  </w:t>
            </w:r>
            <w:r>
              <w:rPr>
                <w:rFonts w:ascii="Arial" w:cs="Arial" w:eastAsia="Arial" w:hAnsi="Arial"/>
                <w:sz w:val="15"/>
                <w:szCs w:val="15"/>
                <w:color w:val="auto"/>
              </w:rPr>
              <w:t>$</w:t>
            </w:r>
          </w:p>
        </w:tc>
        <w:tc>
          <w:tcPr>
            <w:tcW w:w="1320" w:type="dxa"/>
            <w:vAlign w:val="bottom"/>
          </w:tcPr>
          <w:p>
            <w:pPr>
              <w:jc w:val="right"/>
              <w:ind w:right="108"/>
              <w:spacing w:after="0"/>
              <w:rPr>
                <w:sz w:val="20"/>
                <w:szCs w:val="20"/>
                <w:color w:val="auto"/>
              </w:rPr>
            </w:pPr>
            <w:r>
              <w:rPr>
                <w:rFonts w:ascii="Arial" w:cs="Arial" w:eastAsia="Arial" w:hAnsi="Arial"/>
                <w:sz w:val="15"/>
                <w:szCs w:val="15"/>
                <w:color w:val="auto"/>
              </w:rPr>
              <w:t>17,314</w:t>
            </w:r>
          </w:p>
        </w:tc>
        <w:tc>
          <w:tcPr>
            <w:tcW w:w="1560" w:type="dxa"/>
            <w:vAlign w:val="bottom"/>
          </w:tcPr>
          <w:p>
            <w:pPr>
              <w:jc w:val="right"/>
              <w:spacing w:after="0"/>
              <w:rPr>
                <w:sz w:val="20"/>
                <w:szCs w:val="20"/>
                <w:color w:val="auto"/>
              </w:rPr>
            </w:pPr>
            <w:r>
              <w:rPr>
                <w:rFonts w:ascii="Arial" w:cs="Arial" w:eastAsia="Arial" w:hAnsi="Arial"/>
                <w:sz w:val="15"/>
                <w:szCs w:val="15"/>
                <w:color w:val="auto"/>
              </w:rPr>
              <w:t>5.13 %</w:t>
            </w:r>
          </w:p>
        </w:tc>
      </w:tr>
    </w:tbl>
    <w:p>
      <w:pPr>
        <w:spacing w:after="0" w:line="102" w:lineRule="exact"/>
        <w:rPr>
          <w:sz w:val="20"/>
          <w:szCs w:val="20"/>
          <w:color w:val="auto"/>
        </w:rPr>
      </w:pPr>
    </w:p>
    <w:p>
      <w:pPr>
        <w:ind w:left="220" w:hanging="217"/>
        <w:spacing w:after="0"/>
        <w:tabs>
          <w:tab w:leader="none" w:pos="220" w:val="left"/>
        </w:tabs>
        <w:numPr>
          <w:ilvl w:val="0"/>
          <w:numId w:val="86"/>
        </w:numPr>
        <w:rPr>
          <w:rFonts w:ascii="Arial" w:cs="Arial" w:eastAsia="Arial" w:hAnsi="Arial"/>
          <w:sz w:val="9"/>
          <w:szCs w:val="9"/>
          <w:color w:val="auto"/>
        </w:rPr>
      </w:pPr>
      <w:r>
        <w:rPr>
          <w:rFonts w:ascii="Arial" w:cs="Arial" w:eastAsia="Arial" w:hAnsi="Arial"/>
          <w:sz w:val="14"/>
          <w:szCs w:val="14"/>
          <w:color w:val="auto"/>
        </w:rPr>
        <w:t>Includes the effects of discounts, premiums and other cost basis adjustments.</w:t>
      </w:r>
    </w:p>
    <w:p>
      <w:pPr>
        <w:spacing w:after="0" w:line="11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Long-Term Debt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Long-term debt represents debt with an original contractual maturity of greater than one year. The following table displays our outstanding long-term debt.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126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gridSpan w:val="3"/>
          </w:tcPr>
          <w:p>
            <w:pPr>
              <w:jc w:val="center"/>
              <w:ind w:left="985"/>
              <w:spacing w:after="0"/>
              <w:rPr>
                <w:sz w:val="20"/>
                <w:szCs w:val="20"/>
                <w:color w:val="auto"/>
              </w:rPr>
            </w:pPr>
            <w:r>
              <w:rPr>
                <w:rFonts w:ascii="Arial" w:cs="Arial" w:eastAsia="Arial" w:hAnsi="Arial"/>
                <w:sz w:val="14"/>
                <w:szCs w:val="14"/>
                <w:b w:val="1"/>
                <w:bCs w:val="1"/>
                <w:color w:val="auto"/>
                <w:w w:val="97"/>
              </w:rPr>
              <w:t>As of</w:t>
            </w:r>
          </w:p>
        </w:tc>
        <w:tc>
          <w:tcPr>
            <w:tcW w:w="112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r>
      <w:tr>
        <w:trPr>
          <w:trHeight w:val="186"/>
        </w:trPr>
        <w:tc>
          <w:tcPr>
            <w:tcW w:w="3500" w:type="dxa"/>
            <w:vAlign w:val="bottom"/>
          </w:tcPr>
          <w:p>
            <w:pPr>
              <w:spacing w:after="0"/>
              <w:rPr>
                <w:sz w:val="16"/>
                <w:szCs w:val="16"/>
                <w:color w:val="auto"/>
              </w:rPr>
            </w:pPr>
          </w:p>
        </w:tc>
        <w:tc>
          <w:tcPr>
            <w:tcW w:w="126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tcPr>
          <w:p>
            <w:pPr>
              <w:jc w:val="right"/>
              <w:ind w:right="164"/>
              <w:spacing w:after="0"/>
              <w:rPr>
                <w:sz w:val="20"/>
                <w:szCs w:val="20"/>
                <w:color w:val="auto"/>
              </w:rPr>
            </w:pPr>
            <w:r>
              <w:rPr>
                <w:rFonts w:ascii="Arial" w:cs="Arial" w:eastAsia="Arial" w:hAnsi="Arial"/>
                <w:sz w:val="14"/>
                <w:szCs w:val="14"/>
                <w:b w:val="1"/>
                <w:bCs w:val="1"/>
                <w:color w:val="auto"/>
              </w:rPr>
              <w:t>June 30, 2024</w:t>
            </w:r>
          </w:p>
        </w:tc>
        <w:tc>
          <w:tcPr>
            <w:tcW w:w="12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December 31, 2023</w:t>
            </w:r>
          </w:p>
        </w:tc>
        <w:tc>
          <w:tcPr>
            <w:tcW w:w="1220" w:type="dxa"/>
            <w:vAlign w:val="bottom"/>
            <w:tcBorders>
              <w:bottom w:val="single" w:sz="8" w:color="2C6937"/>
            </w:tcBorders>
          </w:tcPr>
          <w:p>
            <w:pPr>
              <w:spacing w:after="0"/>
              <w:rPr>
                <w:sz w:val="16"/>
                <w:szCs w:val="16"/>
                <w:color w:val="auto"/>
              </w:rPr>
            </w:pPr>
          </w:p>
        </w:tc>
      </w:tr>
      <w:tr>
        <w:trPr>
          <w:trHeight w:val="165"/>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Weighted-</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ind w:left="44"/>
              <w:spacing w:after="0"/>
              <w:rPr>
                <w:sz w:val="20"/>
                <w:szCs w:val="20"/>
                <w:color w:val="auto"/>
              </w:rPr>
            </w:pPr>
            <w:r>
              <w:rPr>
                <w:rFonts w:ascii="Arial" w:cs="Arial" w:eastAsia="Arial" w:hAnsi="Arial"/>
                <w:sz w:val="14"/>
                <w:szCs w:val="14"/>
                <w:b w:val="1"/>
                <w:bCs w:val="1"/>
                <w:color w:val="auto"/>
                <w:w w:val="97"/>
              </w:rPr>
              <w:t>Weighted-</w:t>
            </w:r>
          </w:p>
        </w:tc>
      </w:tr>
      <w:tr>
        <w:trPr>
          <w:trHeight w:val="168"/>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Average Interest</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ind w:left="24"/>
              <w:spacing w:after="0"/>
              <w:rPr>
                <w:sz w:val="20"/>
                <w:szCs w:val="20"/>
                <w:color w:val="auto"/>
              </w:rPr>
            </w:pPr>
            <w:r>
              <w:rPr>
                <w:rFonts w:ascii="Arial" w:cs="Arial" w:eastAsia="Arial" w:hAnsi="Arial"/>
                <w:sz w:val="14"/>
                <w:szCs w:val="14"/>
                <w:b w:val="1"/>
                <w:bCs w:val="1"/>
                <w:color w:val="auto"/>
                <w:w w:val="98"/>
              </w:rPr>
              <w:t>Average Interest</w:t>
            </w:r>
          </w:p>
        </w:tc>
      </w:tr>
      <w:tr>
        <w:trPr>
          <w:trHeight w:val="203"/>
        </w:trPr>
        <w:tc>
          <w:tcPr>
            <w:tcW w:w="3500" w:type="dxa"/>
            <w:vAlign w:val="bottom"/>
          </w:tcPr>
          <w:p>
            <w:pPr>
              <w:spacing w:after="0"/>
              <w:rPr>
                <w:sz w:val="17"/>
                <w:szCs w:val="17"/>
                <w:color w:val="auto"/>
              </w:rPr>
            </w:pPr>
          </w:p>
        </w:tc>
        <w:tc>
          <w:tcPr>
            <w:tcW w:w="1260" w:type="dxa"/>
            <w:vAlign w:val="bottom"/>
            <w:tcBorders>
              <w:bottom w:val="single" w:sz="8" w:color="2C6937"/>
            </w:tcBorders>
          </w:tcPr>
          <w:p>
            <w:pPr>
              <w:ind w:left="260"/>
              <w:spacing w:after="0"/>
              <w:rPr>
                <w:sz w:val="20"/>
                <w:szCs w:val="20"/>
                <w:color w:val="auto"/>
              </w:rPr>
            </w:pPr>
            <w:r>
              <w:rPr>
                <w:rFonts w:ascii="Arial" w:cs="Arial" w:eastAsia="Arial" w:hAnsi="Arial"/>
                <w:sz w:val="14"/>
                <w:szCs w:val="14"/>
                <w:b w:val="1"/>
                <w:bCs w:val="1"/>
                <w:color w:val="auto"/>
              </w:rPr>
              <w:t>Maturities</w:t>
            </w: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ind w:right="144"/>
              <w:spacing w:after="0"/>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(1)</w:t>
            </w:r>
          </w:p>
        </w:tc>
        <w:tc>
          <w:tcPr>
            <w:tcW w:w="148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8"/>
                <w:szCs w:val="8"/>
                <w:b w:val="1"/>
                <w:bCs w:val="1"/>
                <w:color w:val="auto"/>
                <w:w w:val="99"/>
              </w:rPr>
              <w:t>(2)</w:t>
            </w:r>
          </w:p>
        </w:tc>
        <w:tc>
          <w:tcPr>
            <w:tcW w:w="1120" w:type="dxa"/>
            <w:vAlign w:val="bottom"/>
            <w:tcBorders>
              <w:bottom w:val="single" w:sz="8" w:color="2C6937"/>
            </w:tcBorders>
          </w:tcPr>
          <w:p>
            <w:pPr>
              <w:jc w:val="center"/>
              <w:ind w:right="164"/>
              <w:spacing w:after="0"/>
              <w:rPr>
                <w:sz w:val="20"/>
                <w:szCs w:val="20"/>
                <w:color w:val="auto"/>
              </w:rPr>
            </w:pPr>
            <w:r>
              <w:rPr>
                <w:rFonts w:ascii="Arial" w:cs="Arial" w:eastAsia="Arial" w:hAnsi="Arial"/>
                <w:sz w:val="14"/>
                <w:szCs w:val="14"/>
                <w:b w:val="1"/>
                <w:bCs w:val="1"/>
                <w:color w:val="auto"/>
                <w:w w:val="96"/>
              </w:rPr>
              <w:t>Maturities</w:t>
            </w: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ind w:right="123"/>
              <w:spacing w:after="0"/>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(1)</w:t>
            </w:r>
          </w:p>
        </w:tc>
        <w:tc>
          <w:tcPr>
            <w:tcW w:w="1220" w:type="dxa"/>
            <w:vAlign w:val="bottom"/>
            <w:tcBorders>
              <w:bottom w:val="single" w:sz="8" w:color="2C6937"/>
            </w:tcBorders>
          </w:tcPr>
          <w:p>
            <w:pPr>
              <w:jc w:val="center"/>
              <w:ind w:left="24"/>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8"/>
                <w:szCs w:val="8"/>
                <w:b w:val="1"/>
                <w:bCs w:val="1"/>
                <w:color w:val="auto"/>
                <w:w w:val="99"/>
              </w:rPr>
              <w:t>(2)</w:t>
            </w:r>
          </w:p>
        </w:tc>
      </w:tr>
      <w:tr>
        <w:trPr>
          <w:trHeight w:val="185"/>
        </w:trPr>
        <w:tc>
          <w:tcPr>
            <w:tcW w:w="3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3500" w:type="dxa"/>
            <w:vAlign w:val="bottom"/>
          </w:tcPr>
          <w:p>
            <w:pPr>
              <w:ind w:left="20"/>
              <w:spacing w:after="0"/>
              <w:rPr>
                <w:sz w:val="20"/>
                <w:szCs w:val="20"/>
                <w:color w:val="auto"/>
              </w:rPr>
            </w:pPr>
            <w:r>
              <w:rPr>
                <w:rFonts w:ascii="Arial" w:cs="Arial" w:eastAsia="Arial" w:hAnsi="Arial"/>
                <w:sz w:val="15"/>
                <w:szCs w:val="15"/>
                <w:color w:val="auto"/>
              </w:rPr>
              <w:t>Senior fixed: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7"/>
        </w:trPr>
        <w:tc>
          <w:tcPr>
            <w:tcW w:w="3500" w:type="dxa"/>
            <w:vAlign w:val="bottom"/>
          </w:tcPr>
          <w:p>
            <w:pPr>
              <w:ind w:left="220"/>
              <w:spacing w:after="0"/>
              <w:rPr>
                <w:sz w:val="20"/>
                <w:szCs w:val="20"/>
                <w:color w:val="auto"/>
              </w:rPr>
            </w:pPr>
            <w:r>
              <w:rPr>
                <w:rFonts w:ascii="Arial" w:cs="Arial" w:eastAsia="Arial" w:hAnsi="Arial"/>
                <w:sz w:val="15"/>
                <w:szCs w:val="15"/>
                <w:color w:val="auto"/>
              </w:rPr>
              <w:t>Benchmark notes and bonds</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2024 - 2030</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52,653</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2.90 %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2024 - 2030</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54,727</w:t>
            </w:r>
          </w:p>
        </w:tc>
        <w:tc>
          <w:tcPr>
            <w:tcW w:w="1220" w:type="dxa"/>
            <w:vAlign w:val="bottom"/>
          </w:tcPr>
          <w:p>
            <w:pPr>
              <w:jc w:val="right"/>
              <w:spacing w:after="0"/>
              <w:rPr>
                <w:sz w:val="20"/>
                <w:szCs w:val="20"/>
                <w:color w:val="auto"/>
              </w:rPr>
            </w:pPr>
            <w:r>
              <w:rPr>
                <w:rFonts w:ascii="Arial" w:cs="Arial" w:eastAsia="Arial" w:hAnsi="Arial"/>
                <w:sz w:val="15"/>
                <w:szCs w:val="15"/>
                <w:color w:val="auto"/>
              </w:rPr>
              <w:t>2.79 %</w:t>
            </w: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Medium-term notes</w:t>
            </w:r>
            <w:r>
              <w:rPr>
                <w:rFonts w:ascii="Arial" w:cs="Arial" w:eastAsia="Arial" w:hAnsi="Arial"/>
                <w:sz w:val="20"/>
                <w:szCs w:val="20"/>
                <w:color w:val="auto"/>
                <w:vertAlign w:val="superscript"/>
              </w:rPr>
              <w:t>(3)</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2024 - 2034</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41,567</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1.95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2024 - 2031</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42,217</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1.58</w:t>
            </w:r>
          </w:p>
        </w:tc>
      </w:tr>
      <w:tr>
        <w:trPr>
          <w:trHeight w:val="217"/>
        </w:trPr>
        <w:tc>
          <w:tcPr>
            <w:tcW w:w="3500" w:type="dxa"/>
            <w:vAlign w:val="bottom"/>
            <w:tcBorders>
              <w:bottom w:val="single" w:sz="8" w:color="2C6937"/>
            </w:tcBorders>
          </w:tcPr>
          <w:p>
            <w:pPr>
              <w:ind w:left="220"/>
              <w:spacing w:after="0" w:line="217"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(4)</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2024 - 2038</w:t>
            </w:r>
          </w:p>
        </w:tc>
        <w:tc>
          <w:tcPr>
            <w:tcW w:w="1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6,741</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4.13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2024 - 2038</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6,787</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3.98</w:t>
            </w:r>
          </w:p>
        </w:tc>
      </w:tr>
      <w:tr>
        <w:trPr>
          <w:trHeight w:val="200"/>
        </w:trPr>
        <w:tc>
          <w:tcPr>
            <w:tcW w:w="3500" w:type="dxa"/>
            <w:vAlign w:val="bottom"/>
          </w:tcPr>
          <w:p>
            <w:pPr>
              <w:ind w:left="400"/>
              <w:spacing w:after="0"/>
              <w:rPr>
                <w:sz w:val="20"/>
                <w:szCs w:val="20"/>
                <w:color w:val="auto"/>
              </w:rPr>
            </w:pPr>
            <w:r>
              <w:rPr>
                <w:rFonts w:ascii="Arial" w:cs="Arial" w:eastAsia="Arial" w:hAnsi="Arial"/>
                <w:sz w:val="15"/>
                <w:szCs w:val="15"/>
                <w:color w:val="auto"/>
              </w:rPr>
              <w:t>Total senior fixed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100,961</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2.61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103,731</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2.40</w:t>
            </w:r>
          </w:p>
        </w:tc>
      </w:tr>
      <w:tr>
        <w:trPr>
          <w:trHeight w:val="195"/>
        </w:trPr>
        <w:tc>
          <w:tcPr>
            <w:tcW w:w="3500" w:type="dxa"/>
            <w:vAlign w:val="bottom"/>
          </w:tcPr>
          <w:p>
            <w:pPr>
              <w:ind w:left="20"/>
              <w:spacing w:after="0"/>
              <w:rPr>
                <w:sz w:val="20"/>
                <w:szCs w:val="20"/>
                <w:color w:val="auto"/>
              </w:rPr>
            </w:pPr>
            <w:r>
              <w:rPr>
                <w:rFonts w:ascii="Arial" w:cs="Arial" w:eastAsia="Arial" w:hAnsi="Arial"/>
                <w:sz w:val="15"/>
                <w:szCs w:val="15"/>
                <w:color w:val="auto"/>
              </w:rPr>
              <w:t>Senior floating:</w:t>
            </w: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Medium-term notes</w:t>
            </w:r>
            <w:r>
              <w:rPr>
                <w:rFonts w:ascii="Arial" w:cs="Arial" w:eastAsia="Arial" w:hAnsi="Arial"/>
                <w:sz w:val="20"/>
                <w:szCs w:val="20"/>
                <w:color w:val="auto"/>
                <w:vertAlign w:val="superscript"/>
              </w:rPr>
              <w:t>(3)</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2026</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2,999</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5.45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w:t>
            </w: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Connecticut Avenue Securities</w:t>
            </w:r>
            <w:r>
              <w:rPr>
                <w:rFonts w:ascii="Arial" w:cs="Arial" w:eastAsia="Arial" w:hAnsi="Arial"/>
                <w:sz w:val="20"/>
                <w:szCs w:val="20"/>
                <w:color w:val="auto"/>
                <w:vertAlign w:val="superscript"/>
              </w:rPr>
              <w:t>(5)</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2024 - 2031</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2,305</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11.36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2024 - 2031</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2,752</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11.12</w:t>
            </w:r>
          </w:p>
        </w:tc>
      </w:tr>
      <w:tr>
        <w:trPr>
          <w:trHeight w:val="217"/>
        </w:trPr>
        <w:tc>
          <w:tcPr>
            <w:tcW w:w="3500" w:type="dxa"/>
            <w:vAlign w:val="bottom"/>
            <w:tcBorders>
              <w:bottom w:val="single" w:sz="8" w:color="2C6937"/>
            </w:tcBorders>
          </w:tcPr>
          <w:p>
            <w:pPr>
              <w:ind w:left="220"/>
              <w:spacing w:after="0" w:line="217"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(6)</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2037</w:t>
            </w:r>
          </w:p>
        </w:tc>
        <w:tc>
          <w:tcPr>
            <w:tcW w:w="1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270</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8.81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2037</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268</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8.79</w:t>
            </w:r>
          </w:p>
        </w:tc>
      </w:tr>
      <w:tr>
        <w:trPr>
          <w:trHeight w:val="199"/>
        </w:trPr>
        <w:tc>
          <w:tcPr>
            <w:tcW w:w="3500" w:type="dxa"/>
            <w:vAlign w:val="bottom"/>
            <w:tcBorders>
              <w:bottom w:val="single" w:sz="8" w:color="2C6937"/>
            </w:tcBorders>
          </w:tcPr>
          <w:p>
            <w:pPr>
              <w:ind w:left="400"/>
              <w:spacing w:after="0"/>
              <w:rPr>
                <w:sz w:val="20"/>
                <w:szCs w:val="20"/>
                <w:color w:val="auto"/>
              </w:rPr>
            </w:pPr>
            <w:r>
              <w:rPr>
                <w:rFonts w:ascii="Arial" w:cs="Arial" w:eastAsia="Arial" w:hAnsi="Arial"/>
                <w:sz w:val="15"/>
                <w:szCs w:val="15"/>
                <w:color w:val="auto"/>
              </w:rPr>
              <w:t>Total senior floating</w:t>
            </w:r>
          </w:p>
        </w:tc>
        <w:tc>
          <w:tcPr>
            <w:tcW w:w="12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5,574</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8.05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3,020</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10.92</w:t>
            </w:r>
          </w:p>
        </w:tc>
      </w:tr>
      <w:tr>
        <w:trPr>
          <w:trHeight w:val="198"/>
        </w:trPr>
        <w:tc>
          <w:tcPr>
            <w:tcW w:w="3500" w:type="dxa"/>
            <w:vAlign w:val="bottom"/>
          </w:tcPr>
          <w:p>
            <w:pPr>
              <w:ind w:left="20"/>
              <w:spacing w:after="0" w:line="198" w:lineRule="exact"/>
              <w:rPr>
                <w:sz w:val="20"/>
                <w:szCs w:val="20"/>
                <w:color w:val="auto"/>
              </w:rPr>
            </w:pPr>
            <w:r>
              <w:rPr>
                <w:rFonts w:ascii="Arial" w:cs="Arial" w:eastAsia="Arial" w:hAnsi="Arial"/>
                <w:sz w:val="15"/>
                <w:szCs w:val="15"/>
                <w:color w:val="auto"/>
              </w:rPr>
              <w:t>Total long-term debt of Fannie Mae</w:t>
            </w:r>
            <w:r>
              <w:rPr>
                <w:rFonts w:ascii="Arial" w:cs="Arial" w:eastAsia="Arial" w:hAnsi="Arial"/>
                <w:sz w:val="20"/>
                <w:szCs w:val="20"/>
                <w:color w:val="auto"/>
                <w:vertAlign w:val="superscript"/>
              </w:rPr>
              <w:t>(7)</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106,535</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2.88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106,751</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2.63</w:t>
            </w:r>
          </w:p>
        </w:tc>
      </w:tr>
      <w:tr>
        <w:trPr>
          <w:trHeight w:val="208"/>
        </w:trPr>
        <w:tc>
          <w:tcPr>
            <w:tcW w:w="35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Debt of consolidated trusts</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2024 - 2063</w:t>
            </w:r>
          </w:p>
        </w:tc>
        <w:tc>
          <w:tcPr>
            <w:tcW w:w="1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4,094,421</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2.84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2024 - 2062</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4,098,653</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2.56</w:t>
            </w:r>
          </w:p>
        </w:tc>
      </w:tr>
      <w:tr>
        <w:trPr>
          <w:trHeight w:val="199"/>
        </w:trPr>
        <w:tc>
          <w:tcPr>
            <w:tcW w:w="350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long-term debt</w:t>
            </w:r>
          </w:p>
        </w:tc>
        <w:tc>
          <w:tcPr>
            <w:tcW w:w="1260" w:type="dxa"/>
            <w:vAlign w:val="bottom"/>
          </w:tcPr>
          <w:p>
            <w:pPr>
              <w:spacing w:after="0"/>
              <w:rPr>
                <w:sz w:val="17"/>
                <w:szCs w:val="17"/>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4,200,956</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2.84 %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4,205,404</w:t>
            </w:r>
          </w:p>
        </w:tc>
        <w:tc>
          <w:tcPr>
            <w:tcW w:w="1220" w:type="dxa"/>
            <w:vAlign w:val="bottom"/>
          </w:tcPr>
          <w:p>
            <w:pPr>
              <w:jc w:val="right"/>
              <w:spacing w:after="0"/>
              <w:rPr>
                <w:sz w:val="20"/>
                <w:szCs w:val="20"/>
                <w:color w:val="auto"/>
              </w:rPr>
            </w:pPr>
            <w:r>
              <w:rPr>
                <w:rFonts w:ascii="Arial" w:cs="Arial" w:eastAsia="Arial" w:hAnsi="Arial"/>
                <w:sz w:val="15"/>
                <w:szCs w:val="15"/>
                <w:color w:val="auto"/>
              </w:rPr>
              <w:t>2.57 %</w:t>
            </w:r>
          </w:p>
        </w:tc>
      </w:tr>
      <w:tr>
        <w:trPr>
          <w:trHeight w:val="20"/>
        </w:trPr>
        <w:tc>
          <w:tcPr>
            <w:tcW w:w="3500" w:type="dxa"/>
            <w:vAlign w:val="bottom"/>
            <w:tcBorders>
              <w:bottom w:val="single" w:sz="8" w:color="2C6937"/>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09" w:lineRule="exact"/>
        <w:rPr>
          <w:sz w:val="20"/>
          <w:szCs w:val="20"/>
          <w:color w:val="auto"/>
        </w:rPr>
      </w:pPr>
    </w:p>
    <w:p>
      <w:pPr>
        <w:ind w:left="240" w:right="660" w:hanging="237"/>
        <w:spacing w:after="0" w:line="275" w:lineRule="auto"/>
        <w:tabs>
          <w:tab w:leader="none" w:pos="233" w:val="left"/>
        </w:tabs>
        <w:numPr>
          <w:ilvl w:val="0"/>
          <w:numId w:val="87"/>
        </w:numPr>
        <w:rPr>
          <w:rFonts w:ascii="Arial" w:cs="Arial" w:eastAsia="Arial" w:hAnsi="Arial"/>
          <w:sz w:val="9"/>
          <w:szCs w:val="9"/>
          <w:color w:val="auto"/>
        </w:rPr>
      </w:pPr>
      <w:r>
        <w:rPr>
          <w:rFonts w:ascii="Arial" w:cs="Arial" w:eastAsia="Arial" w:hAnsi="Arial"/>
          <w:sz w:val="14"/>
          <w:szCs w:val="14"/>
          <w:color w:val="auto"/>
        </w:rPr>
        <w:t>Outstanding debt balance consists of the unpaid principal balance, premiums and discounts, fair value adjustments, hedge-related basis adjustments, and other cost basis adjustments.</w:t>
      </w:r>
    </w:p>
    <w:p>
      <w:pPr>
        <w:ind w:left="220" w:hanging="217"/>
        <w:spacing w:after="0"/>
        <w:tabs>
          <w:tab w:leader="none" w:pos="22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Includes long-term debt with an original contractual maturity of greater than 1 year and up to 10 years, excluding zero-coupon debt.</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Includes other long-term debt with an original contractual maturity of greater than 10 years and foreign exchange bonds.</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Consists of CAS debt issued prior to November 2018, a portion of which is reported at fair value.</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87"/>
        </w:numPr>
        <w:rPr>
          <w:rFonts w:ascii="Arial" w:cs="Arial" w:eastAsia="Arial" w:hAnsi="Arial"/>
          <w:sz w:val="9"/>
          <w:szCs w:val="9"/>
          <w:color w:val="auto"/>
        </w:rPr>
      </w:pPr>
      <w:r>
        <w:rPr>
          <w:rFonts w:ascii="Arial" w:cs="Arial" w:eastAsia="Arial" w:hAnsi="Arial"/>
          <w:sz w:val="14"/>
          <w:szCs w:val="14"/>
          <w:color w:val="auto"/>
        </w:rPr>
        <w:t>Consists of structured debt instruments that are reported at fair value.</w:t>
      </w:r>
    </w:p>
    <w:p>
      <w:pPr>
        <w:spacing w:after="0" w:line="33" w:lineRule="exact"/>
        <w:rPr>
          <w:rFonts w:ascii="Arial" w:cs="Arial" w:eastAsia="Arial" w:hAnsi="Arial"/>
          <w:sz w:val="9"/>
          <w:szCs w:val="9"/>
          <w:color w:val="auto"/>
        </w:rPr>
      </w:pPr>
    </w:p>
    <w:p>
      <w:pPr>
        <w:ind w:left="240" w:right="320" w:hanging="237"/>
        <w:spacing w:after="0" w:line="226" w:lineRule="auto"/>
        <w:tabs>
          <w:tab w:leader="none" w:pos="233"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discounts and premiums, fair value adjustments, hedge-related cost basis adjustments, and other cost basis adjustments in a net discount position of $4.1 billion and $4.0 billion as of June 30,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1" w:name="page92"/>
    <w:bookmarkEnd w:id="91"/>
    <w:p>
      <w:pPr>
        <w:ind w:left="6240"/>
        <w:spacing w:after="0"/>
        <w:rPr>
          <w:sz w:val="20"/>
          <w:szCs w:val="20"/>
          <w:color w:val="auto"/>
        </w:rPr>
      </w:pPr>
      <w:r>
        <w:rPr>
          <w:rFonts w:ascii="Arial" w:cs="Arial" w:eastAsia="Arial" w:hAnsi="Arial"/>
          <w:sz w:val="13"/>
          <w:szCs w:val="13"/>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9. Derivative Instruments</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Derivative instruments are an integral part of our strategy in managing interest-rate risk. Derivative instruments may be privately-negotiated, bilateral contracts or they may be listed and traded on an exchange. We refer to our derivative transactions made pursuant to bilateral contracts as our over-the-counter (“OTC”) derivative transactions and our derivative transactions accepted for clearing by a derivatives clearing organization as our cleared derivative transactions. We typically do not settle the notional amount of our risk management derivatives; rather, notional amounts provide the basis for calculating actual payments or settlement amounts. The derivative contracts we use for interest-rate risk management purposes consist primarily of interest-rate swaps and interest-rate options. See “Note 9, Derivative Instruments” in our 2023 Form 10-K for additional information on interest-rate risk management.</w:t>
      </w:r>
    </w:p>
    <w:p>
      <w:pPr>
        <w:spacing w:after="0" w:line="41"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We account for certain forms of credit risk transfer transactions as derivatives. In our credit risk transfer transactions, a portion of the credit risk associated with losses on a reference pool of mortgage loans is transferred to a third party. We enter into derivative transactions that are associated with some of our credit risk transfer transactions, whereby we manage investment risk to guarantee that certain unconsolidated VIEs have sufficient cash flows to pay their contractual obligations.</w:t>
      </w:r>
    </w:p>
    <w:p>
      <w:pPr>
        <w:spacing w:after="0" w:line="4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enter into forward purchase and sale commitments that lock in the future delivery of mortgage loans and mortgage-related securities at a fixed price or yield. Certain commitments to purchase mortgage loans and purchase or sell mortgage-related securities meet the criteria of a derivative. We typically settle the notional amount of our mortgage commitments that are accounted for as derivatives.</w:t>
      </w:r>
    </w:p>
    <w:p>
      <w:pPr>
        <w:spacing w:after="0" w:line="3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recognize all derivatives as either assets or liabilities in our condensed consolidated balance sheets at their fair value on a trade date basis. Fair value amounts, which are (1) netted to the extent a legal right of offset exists and is enforceable by law at the counterparty level and (2) inclusive of the right or obligation associated with the cash collateral posted or received, are recorded in “Other assets” or “Other liabilities” in our condensed consolidated balance sheets. See “Note 13, Fair Value” for additional information on derivatives recorded at fair value. We present cash flows from derivatives as operating activities in our condensed consolidated statements of cash flows.</w:t>
      </w:r>
    </w:p>
    <w:p>
      <w:pPr>
        <w:spacing w:after="0" w:line="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Hedge Accounting</w:t>
      </w:r>
    </w:p>
    <w:p>
      <w:pPr>
        <w:spacing w:after="0" w:line="81"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Pursuant to our fair value hedge accounting program, we may designate certain interest-rate swaps as hedging instruments in hedges of the change in fair value attributable to the designated benchmark interest rate for certain closed pools of fixed-rate, single-family mortgage loans or our funding debt. For hedged items in qualifying fair value hedging relationships, changes in fair value attributable to the designated risk are recognized as a basis adjustment to the hedged item. We also report changes in the fair value of the derivative hedging instrument in the same condensed consolidated statements of operations and comprehensive income line item used to recognize the earnings effect of the hedged item’s basis adjustment. The objective of our fair value hedges is to reduce GAAP earnings volatility related to changes in benchmark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358775</wp:posOffset>
            </wp:positionV>
            <wp:extent cx="680593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92" w:name="page93"/>
    <w:bookmarkEnd w:id="92"/>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Notional and Fair Value Position of our Derivatives</w:t>
      </w:r>
    </w:p>
    <w:p>
      <w:pPr>
        <w:spacing w:after="0" w:line="68"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auto"/>
        </w:rPr>
        <w:t>The following table displays the notional amount and estimated fair value of our asset and liability derivative instruments, including derivative instruments designated as hedges.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spacing w:after="0"/>
              <w:rPr>
                <w:sz w:val="16"/>
                <w:szCs w:val="16"/>
                <w:color w:val="auto"/>
              </w:rPr>
            </w:pPr>
          </w:p>
        </w:tc>
        <w:tc>
          <w:tcPr>
            <w:tcW w:w="134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As of June 30, 2024</w:t>
            </w: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460" w:type="dxa"/>
            <w:vAlign w:val="bottom"/>
            <w:tcBorders>
              <w:bottom w:val="single" w:sz="8" w:color="2C6937"/>
            </w:tcBorders>
            <w:gridSpan w:val="6"/>
          </w:tcPr>
          <w:p>
            <w:pPr>
              <w:jc w:val="center"/>
              <w:ind w:left="711"/>
              <w:spacing w:after="0"/>
              <w:rPr>
                <w:sz w:val="20"/>
                <w:szCs w:val="20"/>
                <w:color w:val="auto"/>
              </w:rPr>
            </w:pPr>
            <w:r>
              <w:rPr>
                <w:rFonts w:ascii="Arial" w:cs="Arial" w:eastAsia="Arial" w:hAnsi="Arial"/>
                <w:sz w:val="14"/>
                <w:szCs w:val="14"/>
                <w:b w:val="1"/>
                <w:bCs w:val="1"/>
                <w:color w:val="auto"/>
                <w:w w:val="96"/>
              </w:rPr>
              <w:t>As of December 31, 2023</w:t>
            </w:r>
          </w:p>
        </w:tc>
        <w:tc>
          <w:tcPr>
            <w:tcW w:w="9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2240" w:type="dxa"/>
            <w:vAlign w:val="bottom"/>
            <w:tcBorders>
              <w:bottom w:val="single" w:sz="8" w:color="2C6937"/>
            </w:tcBorders>
            <w:gridSpan w:val="4"/>
          </w:tcPr>
          <w:p>
            <w:pPr>
              <w:jc w:val="right"/>
              <w:ind w:right="451"/>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2220" w:type="dxa"/>
            <w:vAlign w:val="bottom"/>
            <w:tcBorders>
              <w:bottom w:val="single" w:sz="8" w:color="2C6937"/>
            </w:tcBorders>
            <w:gridSpan w:val="4"/>
          </w:tcPr>
          <w:p>
            <w:pPr>
              <w:jc w:val="right"/>
              <w:ind w:right="431"/>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78"/>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211"/>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Asset</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Liability</w:t>
            </w:r>
          </w:p>
        </w:tc>
        <w:tc>
          <w:tcPr>
            <w:tcW w:w="1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Asset</w:t>
            </w:r>
          </w:p>
        </w:tc>
        <w:tc>
          <w:tcPr>
            <w:tcW w:w="160" w:type="dxa"/>
            <w:vAlign w:val="bottom"/>
          </w:tcPr>
          <w:p>
            <w:pPr>
              <w:spacing w:after="0"/>
              <w:rPr>
                <w:sz w:val="15"/>
                <w:szCs w:val="15"/>
                <w:color w:val="auto"/>
              </w:rPr>
            </w:pPr>
          </w:p>
        </w:tc>
        <w:tc>
          <w:tcPr>
            <w:tcW w:w="960" w:type="dxa"/>
            <w:vAlign w:val="bottom"/>
          </w:tcPr>
          <w:p>
            <w:pPr>
              <w:jc w:val="right"/>
              <w:ind w:right="231"/>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Derivatives</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Derivatives</w:t>
            </w:r>
          </w:p>
        </w:tc>
        <w:tc>
          <w:tcPr>
            <w:tcW w:w="1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Derivatives</w:t>
            </w:r>
          </w:p>
        </w:tc>
        <w:tc>
          <w:tcPr>
            <w:tcW w:w="1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w w:val="98"/>
              </w:rPr>
              <w:t>Derivatives</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5"/>
          </w:tcPr>
          <w:p>
            <w:pPr>
              <w:ind w:left="4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designated as hedging</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17"/>
                <w:szCs w:val="17"/>
                <w:color w:val="auto"/>
                <w:vertAlign w:val="superscript"/>
              </w:rPr>
              <w:t>(1)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14,310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9,954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Receive-fixed</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18,930</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28,587</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risk management derivatives designated as hedging</w:t>
            </w: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33,240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38,541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not designated as hedging</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17"/>
                <w:szCs w:val="17"/>
                <w:color w:val="auto"/>
                <w:vertAlign w:val="superscript"/>
              </w:rPr>
              <w:t>(1)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127,685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136,648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Receive-fixed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118,023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(2,858)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115,288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(3,085)</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Basis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Foreign currency</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8"/>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Swaptions:</w:t>
            </w:r>
            <w:r>
              <w:rPr>
                <w:rFonts w:ascii="Arial" w:cs="Arial" w:eastAsia="Arial" w:hAnsi="Arial"/>
                <w:sz w:val="17"/>
                <w:szCs w:val="17"/>
                <w:color w:val="auto"/>
                <w:vertAlign w:val="superscript"/>
              </w:rPr>
              <w:t>(1)</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7,006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Receive-fixed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5,116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Futures</w:t>
            </w:r>
            <w:r>
              <w:rPr>
                <w:rFonts w:ascii="Arial" w:cs="Arial" w:eastAsia="Arial" w:hAnsi="Arial"/>
                <w:sz w:val="17"/>
                <w:szCs w:val="17"/>
                <w:color w:val="auto"/>
                <w:vertAlign w:val="superscript"/>
              </w:rPr>
              <w:t>(1)</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140</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risk management derivatives not designated as hedging</w:t>
            </w: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258,534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376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(3,027)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261,016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(3,223)</w:t>
            </w:r>
          </w:p>
        </w:tc>
        <w:tc>
          <w:tcPr>
            <w:tcW w:w="0" w:type="dxa"/>
            <w:vAlign w:val="bottom"/>
          </w:tcPr>
          <w:p>
            <w:pPr>
              <w:spacing w:after="0"/>
              <w:rPr>
                <w:sz w:val="1"/>
                <w:szCs w:val="1"/>
                <w:color w:val="auto"/>
              </w:rPr>
            </w:pPr>
          </w:p>
        </w:tc>
      </w:tr>
      <w:tr>
        <w:trPr>
          <w:trHeight w:val="18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40" w:type="dxa"/>
            <w:vAlign w:val="bottom"/>
            <w:tcBorders>
              <w:bottom w:val="single" w:sz="8" w:color="2C6937"/>
            </w:tcBorders>
          </w:tcPr>
          <w:p>
            <w:pPr>
              <w:ind w:left="20"/>
              <w:spacing w:after="0" w:line="186" w:lineRule="exact"/>
              <w:rPr>
                <w:sz w:val="20"/>
                <w:szCs w:val="20"/>
                <w:color w:val="auto"/>
              </w:rPr>
            </w:pPr>
            <w:r>
              <w:rPr>
                <w:rFonts w:ascii="Arial" w:cs="Arial" w:eastAsia="Arial" w:hAnsi="Arial"/>
                <w:sz w:val="14"/>
                <w:szCs w:val="14"/>
                <w:color w:val="auto"/>
              </w:rPr>
              <w:t>Netting adjustment</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(290)</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3,026</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3,200</w:t>
            </w:r>
          </w:p>
        </w:tc>
        <w:tc>
          <w:tcPr>
            <w:tcW w:w="0" w:type="dxa"/>
            <w:vAlign w:val="bottom"/>
          </w:tcPr>
          <w:p>
            <w:pPr>
              <w:spacing w:after="0"/>
              <w:rPr>
                <w:sz w:val="1"/>
                <w:szCs w:val="1"/>
                <w:color w:val="auto"/>
              </w:rPr>
            </w:pPr>
          </w:p>
        </w:tc>
      </w:tr>
      <w:tr>
        <w:trPr>
          <w:trHeight w:val="185"/>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risk management derivatives portfolio</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291,774</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86</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299,557</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9"/>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Mortgage commitment derivatives: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Mortgage commitments to purchase whole loans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4,633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Forward contracts to purchase mortgage-related securities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25,675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14,264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Forward contracts to sell mortgage-related securities</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59,767</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43,942</w:t>
            </w: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12"/>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mortgage commitment derivatives</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90,075</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60,940</w:t>
            </w:r>
          </w:p>
        </w:tc>
        <w:tc>
          <w:tcPr>
            <w:tcW w:w="1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6"/>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Credit enhancement derivatives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28,755</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27,624</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Derivatives at fair value</w:t>
            </w: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410,604</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(81)</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388,121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0"/>
        </w:trPr>
        <w:tc>
          <w:tcPr>
            <w:tcW w:w="3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88"/>
        </w:numPr>
        <w:rPr>
          <w:rFonts w:ascii="Arial" w:cs="Arial" w:eastAsia="Arial" w:hAnsi="Arial"/>
          <w:sz w:val="9"/>
          <w:szCs w:val="9"/>
          <w:color w:val="auto"/>
        </w:rPr>
      </w:pPr>
      <w:r>
        <w:rPr>
          <w:rFonts w:ascii="Arial" w:cs="Arial" w:eastAsia="Arial" w:hAnsi="Arial"/>
          <w:sz w:val="14"/>
          <w:szCs w:val="14"/>
          <w:color w:val="auto"/>
        </w:rPr>
        <w:t>Centrally cleared derivatives have no ascribable fair value because the positions are settled daily.</w:t>
      </w:r>
    </w:p>
    <w:p>
      <w:pPr>
        <w:spacing w:after="0" w:line="45" w:lineRule="exact"/>
        <w:rPr>
          <w:rFonts w:ascii="Arial" w:cs="Arial" w:eastAsia="Arial" w:hAnsi="Arial"/>
          <w:sz w:val="9"/>
          <w:szCs w:val="9"/>
          <w:color w:val="auto"/>
        </w:rPr>
      </w:pPr>
    </w:p>
    <w:p>
      <w:pPr>
        <w:ind w:left="240" w:right="280" w:hanging="237"/>
        <w:spacing w:after="0" w:line="264" w:lineRule="auto"/>
        <w:tabs>
          <w:tab w:leader="none" w:pos="233" w:val="left"/>
        </w:tabs>
        <w:numPr>
          <w:ilvl w:val="0"/>
          <w:numId w:val="88"/>
        </w:numPr>
        <w:rPr>
          <w:rFonts w:ascii="Arial" w:cs="Arial" w:eastAsia="Arial" w:hAnsi="Arial"/>
          <w:sz w:val="9"/>
          <w:szCs w:val="9"/>
          <w:color w:val="auto"/>
        </w:rPr>
      </w:pPr>
      <w:r>
        <w:rPr>
          <w:rFonts w:ascii="Arial" w:cs="Arial" w:eastAsia="Arial" w:hAnsi="Arial"/>
          <w:sz w:val="14"/>
          <w:szCs w:val="14"/>
          <w:color w:val="auto"/>
        </w:rPr>
        <w:t>The netting adjustment represents the effect of the legal right to offset under legally enforceable master netting arrangements to settle with the same counterparty on a net basis, including cash collateral posted and received. Cash collateral posted was $2.7 billion and $2.9 billion as of June 30, 2024 and December 31, 2023, respectively. Cash collateral received was $3 million and $5 million as of June 30,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354965</wp:posOffset>
            </wp:positionV>
            <wp:extent cx="680593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3" w:name="page94"/>
    <w:bookmarkEnd w:id="93"/>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We record all gains and losses, including accrued interest, on derivatives while they are not in a qualifying designated hedging relationship in “Fair value gains (losses), net” in our condensed consolidated statements of operations and comprehensive income. The following table displays, by type of derivative instrument, the fair value gains and losses, net on our derivatives.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7"/>
          </w:tcPr>
          <w:p>
            <w:pPr>
              <w:ind w:left="40"/>
              <w:spacing w:after="0"/>
              <w:rPr>
                <w:sz w:val="20"/>
                <w:szCs w:val="20"/>
                <w:color w:val="auto"/>
              </w:rPr>
            </w:pPr>
            <w:r>
              <w:rPr>
                <w:rFonts w:ascii="Arial" w:cs="Arial" w:eastAsia="Arial" w:hAnsi="Arial"/>
                <w:sz w:val="14"/>
                <w:szCs w:val="14"/>
                <w:b w:val="1"/>
                <w:bCs w:val="1"/>
                <w:color w:val="auto"/>
              </w:rPr>
              <w:t>For the Three Months Ended June</w:t>
            </w:r>
          </w:p>
        </w:tc>
        <w:tc>
          <w:tcPr>
            <w:tcW w:w="100" w:type="dxa"/>
            <w:vAlign w:val="bottom"/>
          </w:tcPr>
          <w:p>
            <w:pPr>
              <w:spacing w:after="0"/>
              <w:rPr>
                <w:sz w:val="14"/>
                <w:szCs w:val="14"/>
                <w:color w:val="auto"/>
              </w:rPr>
            </w:pPr>
          </w:p>
        </w:tc>
        <w:tc>
          <w:tcPr>
            <w:tcW w:w="2180" w:type="dxa"/>
            <w:vAlign w:val="bottom"/>
            <w:gridSpan w:val="5"/>
          </w:tcPr>
          <w:p>
            <w:pPr>
              <w:jc w:val="right"/>
              <w:ind w:right="43"/>
              <w:spacing w:after="0"/>
              <w:rPr>
                <w:sz w:val="20"/>
                <w:szCs w:val="20"/>
                <w:color w:val="auto"/>
              </w:rPr>
            </w:pPr>
            <w:r>
              <w:rPr>
                <w:rFonts w:ascii="Arial" w:cs="Arial" w:eastAsia="Arial" w:hAnsi="Arial"/>
                <w:sz w:val="14"/>
                <w:szCs w:val="14"/>
                <w:b w:val="1"/>
                <w:bCs w:val="1"/>
                <w:color w:val="auto"/>
                <w:w w:val="97"/>
              </w:rPr>
              <w:t>For the Six Months Ended June</w:t>
            </w:r>
          </w:p>
        </w:tc>
      </w:tr>
      <w:tr>
        <w:trPr>
          <w:trHeight w:val="180"/>
        </w:trPr>
        <w:tc>
          <w:tcPr>
            <w:tcW w:w="6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2C6937"/>
            </w:tcBorders>
          </w:tcPr>
          <w:p>
            <w:pPr>
              <w:spacing w:after="0"/>
              <w:rPr>
                <w:sz w:val="15"/>
                <w:szCs w:val="15"/>
                <w:color w:val="auto"/>
              </w:rPr>
            </w:pPr>
          </w:p>
        </w:tc>
        <w:tc>
          <w:tcPr>
            <w:tcW w:w="800" w:type="dxa"/>
            <w:vAlign w:val="bottom"/>
            <w:tcBorders>
              <w:bottom w:val="single" w:sz="8" w:color="2C6937"/>
            </w:tcBorders>
          </w:tcPr>
          <w:p>
            <w:pPr>
              <w:spacing w:after="0"/>
              <w:rPr>
                <w:sz w:val="15"/>
                <w:szCs w:val="15"/>
                <w:color w:val="auto"/>
              </w:rPr>
            </w:pPr>
          </w:p>
        </w:tc>
        <w:tc>
          <w:tcPr>
            <w:tcW w:w="420" w:type="dxa"/>
            <w:vAlign w:val="bottom"/>
            <w:tcBorders>
              <w:bottom w:val="single" w:sz="8" w:color="2C6937"/>
            </w:tcBorders>
            <w:gridSpan w:val="3"/>
          </w:tcPr>
          <w:p>
            <w:pPr>
              <w:jc w:val="right"/>
              <w:ind w:right="220"/>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Borders>
              <w:bottom w:val="single" w:sz="8" w:color="2C6937"/>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tcPr>
          <w:p>
            <w:pPr>
              <w:spacing w:after="0"/>
              <w:rPr>
                <w:sz w:val="15"/>
                <w:szCs w:val="15"/>
                <w:color w:val="auto"/>
              </w:rPr>
            </w:pPr>
          </w:p>
        </w:tc>
        <w:tc>
          <w:tcPr>
            <w:tcW w:w="400" w:type="dxa"/>
            <w:vAlign w:val="bottom"/>
            <w:tcBorders>
              <w:bottom w:val="single" w:sz="8" w:color="2C6937"/>
            </w:tcBorders>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840" w:type="dxa"/>
            <w:vAlign w:val="bottom"/>
            <w:tcBorders>
              <w:bottom w:val="single" w:sz="8" w:color="2C6937"/>
            </w:tcBorders>
          </w:tcPr>
          <w:p>
            <w:pPr>
              <w:spacing w:after="0"/>
              <w:rPr>
                <w:sz w:val="15"/>
                <w:szCs w:val="15"/>
                <w:color w:val="auto"/>
              </w:rPr>
            </w:pPr>
          </w:p>
        </w:tc>
      </w:tr>
      <w:tr>
        <w:trPr>
          <w:trHeight w:val="185"/>
        </w:trPr>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83"/>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304"/>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ind w:right="284"/>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ind w:right="303"/>
              <w:spacing w:after="0"/>
              <w:rPr>
                <w:sz w:val="20"/>
                <w:szCs w:val="20"/>
                <w:color w:val="auto"/>
              </w:rPr>
            </w:pPr>
            <w:r>
              <w:rPr>
                <w:rFonts w:ascii="Arial" w:cs="Arial" w:eastAsia="Arial" w:hAnsi="Arial"/>
                <w:sz w:val="14"/>
                <w:szCs w:val="14"/>
                <w:b w:val="1"/>
                <w:bCs w:val="1"/>
                <w:color w:val="auto"/>
              </w:rPr>
              <w:t>2023</w:t>
            </w:r>
          </w:p>
        </w:tc>
      </w:tr>
      <w:tr>
        <w:trPr>
          <w:trHeight w:val="185"/>
        </w:trPr>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gridSpan w:val="4"/>
          </w:tcPr>
          <w:p>
            <w:pPr>
              <w:jc w:val="right"/>
              <w:ind w:right="404"/>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6520" w:type="dxa"/>
            <w:vAlign w:val="bottom"/>
            <w:gridSpan w:val="2"/>
          </w:tcPr>
          <w:p>
            <w:pPr>
              <w:ind w:left="20"/>
              <w:spacing w:after="0"/>
              <w:rPr>
                <w:sz w:val="20"/>
                <w:szCs w:val="20"/>
                <w:color w:val="auto"/>
              </w:rPr>
            </w:pPr>
            <w:r>
              <w:rPr>
                <w:rFonts w:ascii="Arial" w:cs="Arial" w:eastAsia="Arial" w:hAnsi="Arial"/>
                <w:sz w:val="15"/>
                <w:szCs w:val="15"/>
                <w:color w:val="auto"/>
              </w:rPr>
              <w:t>Risk management derivatives: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6"/>
        </w:trPr>
        <w:tc>
          <w:tcPr>
            <w:tcW w:w="6520" w:type="dxa"/>
            <w:vAlign w:val="bottom"/>
            <w:gridSpan w:val="2"/>
          </w:tcPr>
          <w:p>
            <w:pPr>
              <w:ind w:left="180"/>
              <w:spacing w:after="0"/>
              <w:rPr>
                <w:sz w:val="20"/>
                <w:szCs w:val="20"/>
                <w:color w:val="auto"/>
              </w:rPr>
            </w:pPr>
            <w:r>
              <w:rPr>
                <w:rFonts w:ascii="Arial" w:cs="Arial" w:eastAsia="Arial" w:hAnsi="Arial"/>
                <w:sz w:val="15"/>
                <w:szCs w:val="15"/>
                <w:color w:val="auto"/>
              </w:rPr>
              <w:t>Swaps: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652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2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237</w:t>
            </w:r>
          </w:p>
        </w:tc>
        <w:tc>
          <w:tcPr>
            <w:tcW w:w="4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1,858</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1,599</w:t>
            </w:r>
          </w:p>
        </w:tc>
        <w:tc>
          <w:tcPr>
            <w:tcW w:w="4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268</w:t>
            </w:r>
          </w:p>
        </w:tc>
      </w:tr>
      <w:tr>
        <w:trPr>
          <w:trHeight w:val="206"/>
        </w:trPr>
        <w:tc>
          <w:tcPr>
            <w:tcW w:w="652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209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(487)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562</w:t>
            </w:r>
          </w:p>
        </w:tc>
      </w:tr>
      <w:tr>
        <w:trPr>
          <w:trHeight w:val="206"/>
        </w:trPr>
        <w:tc>
          <w:tcPr>
            <w:tcW w:w="6520" w:type="dxa"/>
            <w:vAlign w:val="bottom"/>
            <w:gridSpan w:val="2"/>
          </w:tcPr>
          <w:p>
            <w:pPr>
              <w:ind w:left="320"/>
              <w:spacing w:after="0"/>
              <w:rPr>
                <w:sz w:val="20"/>
                <w:szCs w:val="20"/>
                <w:color w:val="auto"/>
              </w:rPr>
            </w:pPr>
            <w:r>
              <w:rPr>
                <w:rFonts w:ascii="Arial" w:cs="Arial" w:eastAsia="Arial" w:hAnsi="Arial"/>
                <w:sz w:val="15"/>
                <w:szCs w:val="15"/>
                <w:color w:val="auto"/>
              </w:rPr>
              <w:t>Basis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08"/>
        </w:trPr>
        <w:tc>
          <w:tcPr>
            <w:tcW w:w="6520" w:type="dxa"/>
            <w:vAlign w:val="bottom"/>
            <w:gridSpan w:val="2"/>
          </w:tcPr>
          <w:p>
            <w:pPr>
              <w:ind w:left="320"/>
              <w:spacing w:after="0"/>
              <w:rPr>
                <w:sz w:val="20"/>
                <w:szCs w:val="20"/>
                <w:color w:val="auto"/>
              </w:rPr>
            </w:pPr>
            <w:r>
              <w:rPr>
                <w:rFonts w:ascii="Arial" w:cs="Arial" w:eastAsia="Arial" w:hAnsi="Arial"/>
                <w:sz w:val="15"/>
                <w:szCs w:val="15"/>
                <w:color w:val="auto"/>
              </w:rPr>
              <w:t>Foreign currency</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04"/>
        </w:trPr>
        <w:tc>
          <w:tcPr>
            <w:tcW w:w="6520" w:type="dxa"/>
            <w:vAlign w:val="bottom"/>
            <w:gridSpan w:val="2"/>
          </w:tcPr>
          <w:p>
            <w:pPr>
              <w:ind w:left="180"/>
              <w:spacing w:after="0"/>
              <w:rPr>
                <w:sz w:val="20"/>
                <w:szCs w:val="20"/>
                <w:color w:val="auto"/>
              </w:rPr>
            </w:pPr>
            <w:r>
              <w:rPr>
                <w:rFonts w:ascii="Arial" w:cs="Arial" w:eastAsia="Arial" w:hAnsi="Arial"/>
                <w:sz w:val="15"/>
                <w:szCs w:val="15"/>
                <w:color w:val="auto"/>
              </w:rPr>
              <w:t>Swaptions: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652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06"/>
        </w:trPr>
        <w:tc>
          <w:tcPr>
            <w:tcW w:w="652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06"/>
        </w:trPr>
        <w:tc>
          <w:tcPr>
            <w:tcW w:w="6520" w:type="dxa"/>
            <w:vAlign w:val="bottom"/>
            <w:gridSpan w:val="2"/>
          </w:tcPr>
          <w:p>
            <w:pPr>
              <w:ind w:left="180"/>
              <w:spacing w:after="0"/>
              <w:rPr>
                <w:sz w:val="20"/>
                <w:szCs w:val="20"/>
                <w:color w:val="auto"/>
              </w:rPr>
            </w:pPr>
            <w:r>
              <w:rPr>
                <w:rFonts w:ascii="Arial" w:cs="Arial" w:eastAsia="Arial" w:hAnsi="Arial"/>
                <w:sz w:val="15"/>
                <w:szCs w:val="15"/>
                <w:color w:val="auto"/>
              </w:rPr>
              <w:t>Futures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8"/>
        </w:trPr>
        <w:tc>
          <w:tcPr>
            <w:tcW w:w="63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contractual interest income (expense) on interest-rate swaps</w:t>
            </w:r>
          </w:p>
        </w:tc>
        <w:tc>
          <w:tcPr>
            <w:tcW w:w="18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(251)</w:t>
            </w:r>
          </w:p>
        </w:tc>
        <w:tc>
          <w:tcPr>
            <w:tcW w:w="20" w:type="dxa"/>
            <w:vAlign w:val="bottom"/>
            <w:tcBorders>
              <w:bottom w:val="single" w:sz="8" w:color="2C6937"/>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(128)</w:t>
            </w:r>
          </w:p>
        </w:tc>
        <w:tc>
          <w:tcPr>
            <w:tcW w:w="16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(450)</w:t>
            </w:r>
          </w:p>
        </w:tc>
        <w:tc>
          <w:tcPr>
            <w:tcW w:w="20" w:type="dxa"/>
            <w:vAlign w:val="bottom"/>
            <w:tcBorders>
              <w:bottom w:val="single" w:sz="8" w:color="2C6937"/>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(306)</w:t>
            </w:r>
          </w:p>
        </w:tc>
      </w:tr>
      <w:tr>
        <w:trPr>
          <w:trHeight w:val="198"/>
        </w:trPr>
        <w:tc>
          <w:tcPr>
            <w:tcW w:w="6520" w:type="dxa"/>
            <w:vAlign w:val="bottom"/>
            <w:gridSpan w:val="2"/>
          </w:tcPr>
          <w:p>
            <w:pPr>
              <w:ind w:left="20"/>
              <w:spacing w:after="0"/>
              <w:rPr>
                <w:sz w:val="20"/>
                <w:szCs w:val="20"/>
                <w:color w:val="auto"/>
              </w:rPr>
            </w:pPr>
            <w:r>
              <w:rPr>
                <w:rFonts w:ascii="Arial" w:cs="Arial" w:eastAsia="Arial" w:hAnsi="Arial"/>
                <w:sz w:val="15"/>
                <w:szCs w:val="15"/>
                <w:color w:val="auto"/>
              </w:rPr>
              <w:t>Total risk management derivatives fair value gains (losses), net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217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697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539</w:t>
            </w:r>
          </w:p>
        </w:tc>
      </w:tr>
      <w:tr>
        <w:trPr>
          <w:trHeight w:val="206"/>
        </w:trPr>
        <w:tc>
          <w:tcPr>
            <w:tcW w:w="6520" w:type="dxa"/>
            <w:vAlign w:val="bottom"/>
            <w:gridSpan w:val="2"/>
          </w:tcPr>
          <w:p>
            <w:pPr>
              <w:ind w:left="20"/>
              <w:spacing w:after="0"/>
              <w:rPr>
                <w:sz w:val="20"/>
                <w:szCs w:val="20"/>
                <w:color w:val="auto"/>
              </w:rPr>
            </w:pPr>
            <w:r>
              <w:rPr>
                <w:rFonts w:ascii="Arial" w:cs="Arial" w:eastAsia="Arial" w:hAnsi="Arial"/>
                <w:sz w:val="15"/>
                <w:szCs w:val="15"/>
                <w:color w:val="auto"/>
              </w:rPr>
              <w:t>Mortgage commitment derivatives fair value gains (losses), net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94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301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208"/>
        </w:trPr>
        <w:tc>
          <w:tcPr>
            <w:tcW w:w="63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Credit enhancement derivatives fair value gains (losses), net</w:t>
            </w:r>
          </w:p>
        </w:tc>
        <w:tc>
          <w:tcPr>
            <w:tcW w:w="18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w:t>
            </w:r>
          </w:p>
        </w:tc>
        <w:tc>
          <w:tcPr>
            <w:tcW w:w="20" w:type="dxa"/>
            <w:vAlign w:val="bottom"/>
            <w:tcBorders>
              <w:bottom w:val="single" w:sz="8" w:color="2C6937"/>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w:t>
            </w:r>
          </w:p>
        </w:tc>
        <w:tc>
          <w:tcPr>
            <w:tcW w:w="16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w:t>
            </w:r>
          </w:p>
        </w:tc>
        <w:tc>
          <w:tcPr>
            <w:tcW w:w="20" w:type="dxa"/>
            <w:vAlign w:val="bottom"/>
            <w:tcBorders>
              <w:bottom w:val="single" w:sz="8" w:color="2C6937"/>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w:t>
            </w:r>
          </w:p>
        </w:tc>
      </w:tr>
      <w:tr>
        <w:trPr>
          <w:trHeight w:val="199"/>
        </w:trPr>
        <w:tc>
          <w:tcPr>
            <w:tcW w:w="6520" w:type="dxa"/>
            <w:vAlign w:val="bottom"/>
            <w:gridSpan w:val="2"/>
          </w:tcPr>
          <w:p>
            <w:pPr>
              <w:ind w:left="180"/>
              <w:spacing w:after="0"/>
              <w:rPr>
                <w:sz w:val="20"/>
                <w:szCs w:val="20"/>
                <w:color w:val="auto"/>
              </w:rPr>
            </w:pPr>
            <w:r>
              <w:rPr>
                <w:rFonts w:ascii="Arial" w:cs="Arial" w:eastAsia="Arial" w:hAnsi="Arial"/>
                <w:sz w:val="15"/>
                <w:szCs w:val="15"/>
                <w:color w:val="auto"/>
              </w:rPr>
              <w:t>Total derivatives fair value gains (losses), net</w:t>
            </w:r>
          </w:p>
        </w:tc>
        <w:tc>
          <w:tcPr>
            <w:tcW w:w="2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312</w:t>
            </w:r>
          </w:p>
        </w:tc>
        <w:tc>
          <w:tcPr>
            <w:tcW w:w="4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975</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984</w:t>
            </w:r>
          </w:p>
        </w:tc>
        <w:tc>
          <w:tcPr>
            <w:tcW w:w="4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637</w:t>
            </w:r>
          </w:p>
        </w:tc>
      </w:tr>
      <w:tr>
        <w:trPr>
          <w:trHeight w:val="20"/>
        </w:trPr>
        <w:tc>
          <w:tcPr>
            <w:tcW w:w="634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433705</wp:posOffset>
            </wp:positionV>
            <wp:extent cx="680593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4" w:name="page95"/>
    <w:bookmarkEnd w:id="94"/>
    <w:p>
      <w:pPr>
        <w:ind w:left="6240"/>
        <w:spacing w:after="0"/>
        <w:rPr>
          <w:sz w:val="20"/>
          <w:szCs w:val="20"/>
          <w:color w:val="auto"/>
        </w:rPr>
      </w:pPr>
      <w:r>
        <w:rPr>
          <w:rFonts w:ascii="Arial" w:cs="Arial" w:eastAsia="Arial" w:hAnsi="Arial"/>
          <w:sz w:val="13"/>
          <w:szCs w:val="13"/>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Effect of Fair Value Hedge Accounting</w:t>
      </w:r>
    </w:p>
    <w:p>
      <w:pPr>
        <w:spacing w:after="0" w:line="6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following table displays the effect of fair value hedge accounting on our condensed consolidated statements of operations and comprehensive income, including gains and losses recognized on fair value hedging relationships.</w:t>
      </w:r>
    </w:p>
    <w:p>
      <w:pPr>
        <w:sectPr>
          <w:pgSz w:w="11900" w:h="16838" w:orient="portrait"/>
          <w:cols w:equalWidth="0" w:num="1">
            <w:col w:w="11200"/>
          </w:cols>
          <w:pgMar w:left="320" w:top="2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20" w:hanging="154"/>
        <w:spacing w:after="0" w:line="288" w:lineRule="auto"/>
        <w:rPr>
          <w:sz w:val="20"/>
          <w:szCs w:val="20"/>
          <w:color w:val="auto"/>
        </w:rPr>
      </w:pPr>
      <w:r>
        <w:rPr>
          <w:rFonts w:ascii="Arial" w:cs="Arial" w:eastAsia="Arial" w:hAnsi="Arial"/>
          <w:sz w:val="15"/>
          <w:szCs w:val="15"/>
          <w:b w:val="1"/>
          <w:bCs w:val="1"/>
          <w:color w:val="auto"/>
        </w:rPr>
        <w:t>Total amounts presented in our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-16510</wp:posOffset>
            </wp:positionV>
            <wp:extent cx="19564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spacing w:after="0" w:line="107" w:lineRule="exact"/>
        <w:rPr>
          <w:sz w:val="20"/>
          <w:szCs w:val="20"/>
          <w:color w:val="auto"/>
        </w:rPr>
      </w:pPr>
    </w:p>
    <w:p>
      <w:pPr>
        <w:ind w:left="220" w:right="220" w:hanging="154"/>
        <w:spacing w:after="0" w:line="297" w:lineRule="auto"/>
        <w:rPr>
          <w:sz w:val="20"/>
          <w:szCs w:val="20"/>
          <w:color w:val="auto"/>
        </w:rPr>
      </w:pPr>
      <w:r>
        <w:rPr>
          <w:rFonts w:ascii="Arial" w:cs="Arial" w:eastAsia="Arial" w:hAnsi="Arial"/>
          <w:sz w:val="15"/>
          <w:szCs w:val="15"/>
          <w:b w:val="1"/>
          <w:bCs w:val="1"/>
          <w:color w:val="auto"/>
        </w:rPr>
        <w:t>Gains (losses) from fair value hedging relationships:</w:t>
      </w:r>
    </w:p>
    <w:p>
      <w:pPr>
        <w:spacing w:after="0" w:line="1" w:lineRule="exact"/>
        <w:rPr>
          <w:sz w:val="20"/>
          <w:szCs w:val="20"/>
          <w:color w:val="auto"/>
        </w:rPr>
      </w:pPr>
    </w:p>
    <w:p>
      <w:pPr>
        <w:ind w:left="280" w:right="160" w:hanging="102"/>
        <w:spacing w:after="0" w:line="287" w:lineRule="auto"/>
        <w:rPr>
          <w:sz w:val="20"/>
          <w:szCs w:val="20"/>
          <w:color w:val="auto"/>
        </w:rPr>
      </w:pPr>
      <w:r>
        <w:rPr>
          <w:rFonts w:ascii="Arial" w:cs="Arial" w:eastAsia="Arial" w:hAnsi="Arial"/>
          <w:sz w:val="15"/>
          <w:szCs w:val="15"/>
          <w:color w:val="auto"/>
        </w:rPr>
        <w:t>Mortgage loans HFI and related interest-rate contracts: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0" w:type="dxa"/>
            <w:vAlign w:val="bottom"/>
          </w:tcPr>
          <w:p>
            <w:pPr>
              <w:spacing w:after="0"/>
              <w:rPr>
                <w:sz w:val="16"/>
                <w:szCs w:val="16"/>
                <w:color w:val="auto"/>
              </w:rPr>
            </w:pPr>
          </w:p>
        </w:tc>
        <w:tc>
          <w:tcPr>
            <w:tcW w:w="3880" w:type="dxa"/>
            <w:vAlign w:val="bottom"/>
            <w:gridSpan w:val="11"/>
          </w:tcPr>
          <w:p>
            <w:pPr>
              <w:ind w:left="600"/>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6"/>
                <w:szCs w:val="16"/>
                <w:color w:val="auto"/>
              </w:rPr>
            </w:pPr>
          </w:p>
        </w:tc>
        <w:tc>
          <w:tcPr>
            <w:tcW w:w="3020" w:type="dxa"/>
            <w:vAlign w:val="bottom"/>
            <w:gridSpan w:val="9"/>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820" w:type="dxa"/>
            <w:vAlign w:val="bottom"/>
          </w:tcPr>
          <w:p>
            <w:pPr>
              <w:spacing w:after="0"/>
              <w:rPr>
                <w:sz w:val="16"/>
                <w:szCs w:val="16"/>
                <w:color w:val="auto"/>
              </w:rPr>
            </w:pPr>
          </w:p>
        </w:tc>
      </w:tr>
      <w:tr>
        <w:trPr>
          <w:trHeight w:val="186"/>
        </w:trPr>
        <w:tc>
          <w:tcPr>
            <w:tcW w:w="120" w:type="dxa"/>
            <w:vAlign w:val="bottom"/>
            <w:tcBorders>
              <w:top w:val="single" w:sz="8" w:color="2C6937"/>
              <w:bottom w:val="single" w:sz="8" w:color="2C6937"/>
            </w:tcBorders>
          </w:tcPr>
          <w:p>
            <w:pPr>
              <w:spacing w:after="0"/>
              <w:rPr>
                <w:sz w:val="16"/>
                <w:szCs w:val="16"/>
                <w:color w:val="auto"/>
              </w:rPr>
            </w:pPr>
          </w:p>
        </w:tc>
        <w:tc>
          <w:tcPr>
            <w:tcW w:w="1780" w:type="dxa"/>
            <w:vAlign w:val="bottom"/>
            <w:tcBorders>
              <w:top w:val="single" w:sz="8" w:color="2C6937"/>
              <w:bottom w:val="single" w:sz="8" w:color="2C6937"/>
            </w:tcBorders>
            <w:gridSpan w:val="4"/>
          </w:tcPr>
          <w:p>
            <w:pPr>
              <w:jc w:val="right"/>
              <w:ind w:right="73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2C6937"/>
            </w:tcBorders>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1800" w:type="dxa"/>
            <w:vAlign w:val="bottom"/>
            <w:tcBorders>
              <w:top w:val="single" w:sz="8" w:color="2C6937"/>
              <w:bottom w:val="single" w:sz="8" w:color="2C6937"/>
            </w:tcBorders>
            <w:gridSpan w:val="4"/>
          </w:tcPr>
          <w:p>
            <w:pPr>
              <w:jc w:val="right"/>
              <w:ind w:right="7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102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top w:val="single" w:sz="8" w:color="2C6937"/>
              <w:bottom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1800" w:type="dxa"/>
            <w:vAlign w:val="bottom"/>
            <w:tcBorders>
              <w:top w:val="single" w:sz="8" w:color="2C6937"/>
              <w:bottom w:val="single" w:sz="8" w:color="2C6937"/>
            </w:tcBorders>
            <w:gridSpan w:val="4"/>
          </w:tcPr>
          <w:p>
            <w:pPr>
              <w:jc w:val="right"/>
              <w:ind w:right="731"/>
              <w:spacing w:after="0"/>
              <w:rPr>
                <w:sz w:val="20"/>
                <w:szCs w:val="20"/>
                <w:color w:val="auto"/>
              </w:rPr>
            </w:pPr>
            <w:r>
              <w:rPr>
                <w:rFonts w:ascii="Arial" w:cs="Arial" w:eastAsia="Arial" w:hAnsi="Arial"/>
                <w:sz w:val="14"/>
                <w:szCs w:val="14"/>
                <w:b w:val="1"/>
                <w:bCs w:val="1"/>
                <w:color w:val="auto"/>
              </w:rPr>
              <w:t>2023</w:t>
            </w:r>
          </w:p>
        </w:tc>
      </w:tr>
      <w:tr>
        <w:trPr>
          <w:trHeight w:val="178"/>
        </w:trPr>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8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Interest</w:t>
            </w:r>
          </w:p>
        </w:tc>
        <w:tc>
          <w:tcPr>
            <w:tcW w:w="80" w:type="dxa"/>
            <w:vAlign w:val="bottom"/>
          </w:tcPr>
          <w:p>
            <w:pPr>
              <w:spacing w:after="0"/>
              <w:rPr>
                <w:sz w:val="15"/>
                <w:szCs w:val="15"/>
                <w:color w:val="auto"/>
              </w:rPr>
            </w:pPr>
          </w:p>
        </w:tc>
        <w:tc>
          <w:tcPr>
            <w:tcW w:w="820" w:type="dxa"/>
            <w:vAlign w:val="bottom"/>
          </w:tcPr>
          <w:p>
            <w:pPr>
              <w:jc w:val="center"/>
              <w:ind w:right="11"/>
              <w:spacing w:after="0"/>
              <w:rPr>
                <w:sz w:val="20"/>
                <w:szCs w:val="20"/>
                <w:color w:val="auto"/>
              </w:rPr>
            </w:pPr>
            <w:r>
              <w:rPr>
                <w:rFonts w:ascii="Arial" w:cs="Arial" w:eastAsia="Arial" w:hAnsi="Arial"/>
                <w:sz w:val="14"/>
                <w:szCs w:val="14"/>
                <w:b w:val="1"/>
                <w:bCs w:val="1"/>
                <w:color w:val="auto"/>
                <w:w w:val="98"/>
              </w:rPr>
              <w:t>Interest</w:t>
            </w:r>
          </w:p>
        </w:tc>
      </w:tr>
      <w:tr>
        <w:trPr>
          <w:trHeight w:val="155"/>
        </w:trPr>
        <w:tc>
          <w:tcPr>
            <w:tcW w:w="120" w:type="dxa"/>
            <w:vAlign w:val="bottom"/>
          </w:tcPr>
          <w:p>
            <w:pPr>
              <w:spacing w:after="0"/>
              <w:rPr>
                <w:sz w:val="13"/>
                <w:szCs w:val="13"/>
                <w:color w:val="auto"/>
              </w:rPr>
            </w:pPr>
          </w:p>
        </w:tc>
        <w:tc>
          <w:tcPr>
            <w:tcW w:w="8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6"/>
              </w:rPr>
              <w:t>Income:</w:t>
            </w:r>
          </w:p>
        </w:tc>
        <w:tc>
          <w:tcPr>
            <w:tcW w:w="80" w:type="dxa"/>
            <w:vAlign w:val="bottom"/>
          </w:tcPr>
          <w:p>
            <w:pPr>
              <w:spacing w:after="0"/>
              <w:rPr>
                <w:sz w:val="13"/>
                <w:szCs w:val="13"/>
                <w:color w:val="auto"/>
              </w:rPr>
            </w:pPr>
          </w:p>
        </w:tc>
        <w:tc>
          <w:tcPr>
            <w:tcW w:w="90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6"/>
              </w:rPr>
              <w:t>Expense:</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Income:</w:t>
            </w:r>
          </w:p>
        </w:tc>
        <w:tc>
          <w:tcPr>
            <w:tcW w:w="100" w:type="dxa"/>
            <w:vAlign w:val="bottom"/>
          </w:tcPr>
          <w:p>
            <w:pPr>
              <w:spacing w:after="0"/>
              <w:rPr>
                <w:sz w:val="13"/>
                <w:szCs w:val="13"/>
                <w:color w:val="auto"/>
              </w:rPr>
            </w:pPr>
          </w:p>
        </w:tc>
        <w:tc>
          <w:tcPr>
            <w:tcW w:w="9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Expense:</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6"/>
              </w:rPr>
              <w:t>Income:</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Expense:</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6"/>
              </w:rPr>
              <w:t>Income:</w:t>
            </w:r>
          </w:p>
        </w:tc>
        <w:tc>
          <w:tcPr>
            <w:tcW w:w="80" w:type="dxa"/>
            <w:vAlign w:val="bottom"/>
          </w:tcPr>
          <w:p>
            <w:pPr>
              <w:spacing w:after="0"/>
              <w:rPr>
                <w:sz w:val="13"/>
                <w:szCs w:val="13"/>
                <w:color w:val="auto"/>
              </w:rPr>
            </w:pPr>
          </w:p>
        </w:tc>
        <w:tc>
          <w:tcPr>
            <w:tcW w:w="820" w:type="dxa"/>
            <w:vAlign w:val="bottom"/>
          </w:tcPr>
          <w:p>
            <w:pPr>
              <w:jc w:val="center"/>
              <w:ind w:right="31"/>
              <w:spacing w:after="0" w:line="155" w:lineRule="exact"/>
              <w:rPr>
                <w:sz w:val="20"/>
                <w:szCs w:val="20"/>
                <w:color w:val="auto"/>
              </w:rPr>
            </w:pPr>
            <w:r>
              <w:rPr>
                <w:rFonts w:ascii="Arial" w:cs="Arial" w:eastAsia="Arial" w:hAnsi="Arial"/>
                <w:sz w:val="14"/>
                <w:szCs w:val="14"/>
                <w:b w:val="1"/>
                <w:bCs w:val="1"/>
                <w:color w:val="auto"/>
                <w:w w:val="96"/>
              </w:rPr>
              <w:t>Expense:</w:t>
            </w:r>
          </w:p>
        </w:tc>
      </w:tr>
      <w:tr>
        <w:trPr>
          <w:trHeight w:val="168"/>
        </w:trPr>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Mortgage</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Long-Term</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Mortgage</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Long-Term</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Mortgage</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Mortgage</w:t>
            </w:r>
          </w:p>
        </w:tc>
        <w:tc>
          <w:tcPr>
            <w:tcW w:w="80" w:type="dxa"/>
            <w:vAlign w:val="bottom"/>
          </w:tcPr>
          <w:p>
            <w:pPr>
              <w:spacing w:after="0"/>
              <w:rPr>
                <w:sz w:val="14"/>
                <w:szCs w:val="14"/>
                <w:color w:val="auto"/>
              </w:rPr>
            </w:pPr>
          </w:p>
        </w:tc>
        <w:tc>
          <w:tcPr>
            <w:tcW w:w="820" w:type="dxa"/>
            <w:vAlign w:val="bottom"/>
          </w:tcPr>
          <w:p>
            <w:pPr>
              <w:jc w:val="center"/>
              <w:ind w:right="31"/>
              <w:spacing w:after="0"/>
              <w:rPr>
                <w:sz w:val="20"/>
                <w:szCs w:val="20"/>
                <w:color w:val="auto"/>
              </w:rPr>
            </w:pPr>
            <w:r>
              <w:rPr>
                <w:rFonts w:ascii="Arial" w:cs="Arial" w:eastAsia="Arial" w:hAnsi="Arial"/>
                <w:sz w:val="14"/>
                <w:szCs w:val="14"/>
                <w:b w:val="1"/>
                <w:bCs w:val="1"/>
                <w:color w:val="auto"/>
                <w:w w:val="98"/>
              </w:rPr>
              <w:t>Long-Term</w:t>
            </w:r>
          </w:p>
        </w:tc>
      </w:tr>
      <w:tr>
        <w:trPr>
          <w:trHeight w:val="196"/>
        </w:trPr>
        <w:tc>
          <w:tcPr>
            <w:tcW w:w="12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Loans</w:t>
            </w:r>
          </w:p>
        </w:tc>
        <w:tc>
          <w:tcPr>
            <w:tcW w:w="8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Debt</w:t>
            </w:r>
          </w:p>
        </w:tc>
        <w:tc>
          <w:tcPr>
            <w:tcW w:w="12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Loans</w:t>
            </w:r>
          </w:p>
        </w:tc>
        <w:tc>
          <w:tcPr>
            <w:tcW w:w="10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rPr>
              <w:t>Debt</w:t>
            </w:r>
          </w:p>
        </w:tc>
        <w:tc>
          <w:tcPr>
            <w:tcW w:w="12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Loans</w:t>
            </w:r>
          </w:p>
        </w:tc>
        <w:tc>
          <w:tcPr>
            <w:tcW w:w="10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Debt</w:t>
            </w:r>
          </w:p>
        </w:tc>
        <w:tc>
          <w:tcPr>
            <w:tcW w:w="12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Loans</w:t>
            </w:r>
          </w:p>
        </w:tc>
        <w:tc>
          <w:tcPr>
            <w:tcW w:w="8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center"/>
              <w:ind w:right="31"/>
              <w:spacing w:after="0"/>
              <w:rPr>
                <w:sz w:val="20"/>
                <w:szCs w:val="20"/>
                <w:color w:val="auto"/>
              </w:rPr>
            </w:pPr>
            <w:r>
              <w:rPr>
                <w:rFonts w:ascii="Arial" w:cs="Arial" w:eastAsia="Arial" w:hAnsi="Arial"/>
                <w:sz w:val="14"/>
                <w:szCs w:val="14"/>
                <w:b w:val="1"/>
                <w:bCs w:val="1"/>
                <w:color w:val="auto"/>
              </w:rPr>
              <w:t>Debt</w:t>
            </w:r>
          </w:p>
        </w:tc>
      </w:tr>
      <w:tr>
        <w:trPr>
          <w:trHeight w:val="192"/>
        </w:trPr>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tcPr>
          <w:p>
            <w:pPr>
              <w:ind w:left="26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607"/>
        </w:trPr>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35,617</w:t>
            </w:r>
          </w:p>
        </w:tc>
        <w:tc>
          <w:tcPr>
            <w:tcW w:w="100" w:type="dxa"/>
            <w:vAlign w:val="bottom"/>
          </w:tcPr>
          <w:p>
            <w:pPr>
              <w:spacing w:after="0"/>
              <w:rPr>
                <w:sz w:val="24"/>
                <w:szCs w:val="2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(29,877)</w:t>
            </w:r>
          </w:p>
        </w:tc>
        <w:tc>
          <w:tcPr>
            <w:tcW w:w="80" w:type="dxa"/>
            <w:vAlign w:val="bottom"/>
          </w:tcPr>
          <w:p>
            <w:pPr>
              <w:spacing w:after="0"/>
              <w:rPr>
                <w:sz w:val="24"/>
                <w:szCs w:val="2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32,655</w:t>
            </w:r>
          </w:p>
        </w:tc>
        <w:tc>
          <w:tcPr>
            <w:tcW w:w="80" w:type="dxa"/>
            <w:vAlign w:val="bottom"/>
          </w:tcPr>
          <w:p>
            <w:pPr>
              <w:spacing w:after="0"/>
              <w:rPr>
                <w:sz w:val="24"/>
                <w:szCs w:val="2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(27,122)</w:t>
            </w:r>
          </w:p>
        </w:tc>
        <w:tc>
          <w:tcPr>
            <w:tcW w:w="100" w:type="dxa"/>
            <w:vAlign w:val="bottom"/>
          </w:tcPr>
          <w:p>
            <w:pPr>
              <w:spacing w:after="0"/>
              <w:rPr>
                <w:sz w:val="24"/>
                <w:szCs w:val="2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70,833</w:t>
            </w:r>
          </w:p>
        </w:tc>
        <w:tc>
          <w:tcPr>
            <w:tcW w:w="100" w:type="dxa"/>
            <w:vAlign w:val="bottom"/>
          </w:tcPr>
          <w:p>
            <w:pPr>
              <w:spacing w:after="0"/>
              <w:rPr>
                <w:sz w:val="24"/>
                <w:szCs w:val="2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(59,457)</w:t>
            </w:r>
          </w:p>
        </w:tc>
        <w:tc>
          <w:tcPr>
            <w:tcW w:w="80" w:type="dxa"/>
            <w:vAlign w:val="bottom"/>
          </w:tcPr>
          <w:p>
            <w:pPr>
              <w:spacing w:after="0"/>
              <w:rPr>
                <w:sz w:val="24"/>
                <w:szCs w:val="2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64,792</w:t>
            </w:r>
          </w:p>
        </w:tc>
        <w:tc>
          <w:tcPr>
            <w:tcW w:w="100" w:type="dxa"/>
            <w:vAlign w:val="bottom"/>
          </w:tcPr>
          <w:p>
            <w:pPr>
              <w:spacing w:after="0"/>
              <w:rPr>
                <w:sz w:val="24"/>
                <w:szCs w:val="2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(53,787)</w:t>
            </w:r>
          </w:p>
        </w:tc>
      </w:tr>
    </w:tbl>
    <w:p>
      <w:pPr>
        <w:spacing w:after="0" w:line="981" w:lineRule="exact"/>
        <w:rPr>
          <w:sz w:val="20"/>
          <w:szCs w:val="20"/>
          <w:color w:val="auto"/>
        </w:rPr>
      </w:pPr>
    </w:p>
    <w:p>
      <w:pPr>
        <w:sectPr>
          <w:pgSz w:w="11900" w:h="16838" w:orient="portrait"/>
          <w:cols w:equalWidth="0" w:num="2">
            <w:col w:w="3100" w:space="140"/>
            <w:col w:w="7960"/>
          </w:cols>
          <w:pgMar w:left="320" w:top="248" w:right="379" w:bottom="1440" w:gutter="0" w:footer="0" w:header="0"/>
          <w:type w:val="continuous"/>
        </w:sectPr>
      </w:pPr>
    </w:p>
    <w:tbl>
      <w:tblPr>
        <w:tblLayout w:type="fixed"/>
        <w:tblInd w:w="60" w:type="dxa"/>
        <w:tblCellMar>
          <w:top w:w="0" w:type="dxa"/>
          <w:left w:w="0" w:type="dxa"/>
          <w:bottom w:w="0" w:type="dxa"/>
          <w:right w:w="0" w:type="dxa"/>
        </w:tblCellMar>
      </w:tblPr>
      <w:tr>
        <w:trPr>
          <w:trHeight w:val="204"/>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Hedged items</w:t>
            </w:r>
          </w:p>
        </w:tc>
        <w:tc>
          <w:tcPr>
            <w:tcW w:w="360" w:type="dxa"/>
            <w:vAlign w:val="bottom"/>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7"/>
                <w:szCs w:val="17"/>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b w:val="1"/>
                <w:bCs w:val="1"/>
                <w:color w:val="auto"/>
                <w:w w:val="76"/>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7"/>
                <w:szCs w:val="17"/>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91"/>
              <w:spacing w:after="0"/>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(362)</w:t>
            </w:r>
          </w:p>
        </w:tc>
        <w:tc>
          <w:tcPr>
            <w:tcW w:w="100" w:type="dxa"/>
            <w:vAlign w:val="bottom"/>
          </w:tcPr>
          <w:p>
            <w:pPr>
              <w:spacing w:after="0"/>
              <w:rPr>
                <w:sz w:val="17"/>
                <w:szCs w:val="17"/>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Discontinued hedge related basis</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adjustment amortization</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9"/>
                <w:szCs w:val="19"/>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Derivatives designated as hedging</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instruments</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9"/>
                <w:szCs w:val="19"/>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Interest accruals on hedging</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instruments</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9"/>
                <w:szCs w:val="19"/>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180" w:type="dxa"/>
            <w:vAlign w:val="bottom"/>
            <w:gridSpan w:val="2"/>
          </w:tcPr>
          <w:p>
            <w:pPr>
              <w:ind w:left="100"/>
              <w:spacing w:after="0"/>
              <w:rPr>
                <w:sz w:val="20"/>
                <w:szCs w:val="20"/>
                <w:color w:val="auto"/>
              </w:rPr>
            </w:pPr>
            <w:r>
              <w:rPr>
                <w:rFonts w:ascii="Arial" w:cs="Arial" w:eastAsia="Arial" w:hAnsi="Arial"/>
                <w:sz w:val="15"/>
                <w:szCs w:val="15"/>
                <w:color w:val="auto"/>
              </w:rPr>
              <w:t>Debt of Fannie Mae and related interest-</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4"/>
        </w:trPr>
        <w:tc>
          <w:tcPr>
            <w:tcW w:w="3180" w:type="dxa"/>
            <w:vAlign w:val="bottom"/>
            <w:gridSpan w:val="2"/>
          </w:tcPr>
          <w:p>
            <w:pPr>
              <w:ind w:left="220"/>
              <w:spacing w:after="0"/>
              <w:rPr>
                <w:sz w:val="20"/>
                <w:szCs w:val="20"/>
                <w:color w:val="auto"/>
              </w:rPr>
            </w:pPr>
            <w:r>
              <w:rPr>
                <w:rFonts w:ascii="Arial" w:cs="Arial" w:eastAsia="Arial" w:hAnsi="Arial"/>
                <w:sz w:val="15"/>
                <w:szCs w:val="15"/>
                <w:color w:val="auto"/>
              </w:rPr>
              <w:t>rate contracts:</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2"/>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Hedged items</w:t>
            </w:r>
          </w:p>
        </w:tc>
        <w:tc>
          <w:tcPr>
            <w:tcW w:w="3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4"/>
                <w:szCs w:val="14"/>
                <w:b w:val="1"/>
                <w:bCs w:val="1"/>
                <w:color w:val="auto"/>
              </w:rPr>
              <w:t>129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b w:val="1"/>
                <w:bCs w:val="1"/>
                <w:color w:val="auto"/>
              </w:rPr>
              <w:t>557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430</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Discontinued hedge-related basis</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adjustment amortization</w:t>
            </w:r>
          </w:p>
        </w:tc>
        <w:tc>
          <w:tcPr>
            <w:tcW w:w="3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(428)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(395)</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Derivatives designated as hedging</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instruments</w:t>
            </w:r>
          </w:p>
        </w:tc>
        <w:tc>
          <w:tcPr>
            <w:tcW w:w="3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(433)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Interest accruals on derivative hedging</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1"/>
        </w:trPr>
        <w:tc>
          <w:tcPr>
            <w:tcW w:w="3080" w:type="dxa"/>
            <w:vAlign w:val="bottom"/>
            <w:tcBorders>
              <w:bottom w:val="single" w:sz="8" w:color="2C6937"/>
            </w:tcBorders>
          </w:tcPr>
          <w:p>
            <w:pPr>
              <w:ind w:left="440"/>
              <w:spacing w:after="0"/>
              <w:rPr>
                <w:sz w:val="20"/>
                <w:szCs w:val="20"/>
                <w:color w:val="auto"/>
              </w:rPr>
            </w:pPr>
            <w:r>
              <w:rPr>
                <w:rFonts w:ascii="Arial" w:cs="Arial" w:eastAsia="Arial" w:hAnsi="Arial"/>
                <w:sz w:val="15"/>
                <w:szCs w:val="15"/>
                <w:color w:val="auto"/>
              </w:rPr>
              <w:t>instruments</w:t>
            </w:r>
          </w:p>
        </w:tc>
        <w:tc>
          <w:tcPr>
            <w:tcW w:w="10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32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(113)</w:t>
            </w:r>
          </w:p>
        </w:tc>
        <w:tc>
          <w:tcPr>
            <w:tcW w:w="80" w:type="dxa"/>
            <w:vAlign w:val="bottom"/>
          </w:tcPr>
          <w:p>
            <w:pPr>
              <w:spacing w:after="0"/>
              <w:rPr>
                <w:sz w:val="20"/>
                <w:szCs w:val="20"/>
                <w:color w:val="auto"/>
              </w:rPr>
            </w:pPr>
          </w:p>
        </w:tc>
        <w:tc>
          <w:tcPr>
            <w:tcW w:w="32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32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(280)</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32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(522)</w:t>
            </w:r>
          </w:p>
        </w:tc>
      </w:tr>
      <w:tr>
        <w:trPr>
          <w:trHeight w:val="225"/>
        </w:trPr>
        <w:tc>
          <w:tcPr>
            <w:tcW w:w="3180" w:type="dxa"/>
            <w:vAlign w:val="bottom"/>
            <w:gridSpan w:val="2"/>
          </w:tcPr>
          <w:p>
            <w:pPr>
              <w:spacing w:after="0"/>
              <w:rPr>
                <w:sz w:val="20"/>
                <w:szCs w:val="20"/>
                <w:color w:val="auto"/>
              </w:rPr>
            </w:pPr>
            <w:r>
              <w:rPr>
                <w:rFonts w:ascii="Arial" w:cs="Arial" w:eastAsia="Arial" w:hAnsi="Arial"/>
                <w:sz w:val="15"/>
                <w:szCs w:val="15"/>
                <w:color w:val="auto"/>
              </w:rPr>
              <w:t>Total effect of fair value hedges</w:t>
            </w:r>
          </w:p>
        </w:tc>
        <w:tc>
          <w:tcPr>
            <w:tcW w:w="360" w:type="dxa"/>
            <w:vAlign w:val="bottom"/>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9"/>
                <w:szCs w:val="19"/>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(284)</w:t>
            </w:r>
          </w:p>
        </w:tc>
        <w:tc>
          <w:tcPr>
            <w:tcW w:w="80" w:type="dxa"/>
            <w:vAlign w:val="bottom"/>
          </w:tcPr>
          <w:p>
            <w:pPr>
              <w:spacing w:after="0"/>
              <w:rPr>
                <w:sz w:val="19"/>
                <w:szCs w:val="19"/>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1"/>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9"/>
                <w:szCs w:val="19"/>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9"/>
                <w:szCs w:val="19"/>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100" w:type="dxa"/>
            <w:vAlign w:val="bottom"/>
          </w:tcPr>
          <w:p>
            <w:pPr>
              <w:spacing w:after="0"/>
              <w:rPr>
                <w:sz w:val="19"/>
                <w:szCs w:val="19"/>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(584)</w:t>
            </w:r>
          </w:p>
        </w:tc>
        <w:tc>
          <w:tcPr>
            <w:tcW w:w="80" w:type="dxa"/>
            <w:vAlign w:val="bottom"/>
          </w:tcPr>
          <w:p>
            <w:pPr>
              <w:spacing w:after="0"/>
              <w:rPr>
                <w:sz w:val="19"/>
                <w:szCs w:val="19"/>
                <w:color w:val="auto"/>
              </w:rPr>
            </w:pP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9"/>
                <w:szCs w:val="19"/>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(558)</w:t>
            </w:r>
          </w:p>
        </w:tc>
      </w:tr>
      <w:tr>
        <w:trPr>
          <w:trHeight w:val="20"/>
        </w:trPr>
        <w:tc>
          <w:tcPr>
            <w:tcW w:w="30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type w:val="continuous"/>
        </w:sectPr>
      </w:pPr>
    </w:p>
    <w:bookmarkStart w:id="95" w:name="page96"/>
    <w:bookmarkEnd w:id="95"/>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Hedged Items in Fair Value Hedging Relationships</w:t>
      </w:r>
    </w:p>
    <w:p>
      <w:pPr>
        <w:spacing w:after="0" w:line="6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following table displays the carrying amounts of the hedged items that have been in qualifying fair value hedges recorded in our condensed consolidated balance sheets, including the hedged item’s cumulative basis adjustments and the closed portfolio balances under the portfolio layer method. The hedged item carrying amounts and total basis adjustments include both open and discontinued hedges. The amortized cost and designated UPB consists only of open hedges as of June 30, 2024 and December 31, 2023.</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6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8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As of June 30, 2024</w:t>
            </w:r>
          </w:p>
        </w:tc>
        <w:tc>
          <w:tcPr>
            <w:tcW w:w="16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tcPr>
          <w:p>
            <w:pPr>
              <w:spacing w:after="0"/>
              <w:rPr>
                <w:sz w:val="16"/>
                <w:szCs w:val="16"/>
                <w:color w:val="auto"/>
              </w:rPr>
            </w:pPr>
          </w:p>
        </w:tc>
      </w:tr>
      <w:tr>
        <w:trPr>
          <w:trHeight w:val="332"/>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8"/>
              </w:rPr>
              <w:t>Cumulative Amount of Fair Value Hedging Basis</w:t>
            </w:r>
          </w:p>
        </w:tc>
        <w:tc>
          <w:tcPr>
            <w:tcW w:w="160" w:type="dxa"/>
            <w:vAlign w:val="bottom"/>
          </w:tcPr>
          <w:p>
            <w:pPr>
              <w:spacing w:after="0"/>
              <w:rPr>
                <w:sz w:val="24"/>
                <w:szCs w:val="24"/>
                <w:color w:val="auto"/>
              </w:rPr>
            </w:pPr>
          </w:p>
        </w:tc>
        <w:tc>
          <w:tcPr>
            <w:tcW w:w="304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w w:val="99"/>
              </w:rPr>
              <w:t>Closed Portfolio of Mortgage Loans Under</w:t>
            </w:r>
          </w:p>
        </w:tc>
      </w:tr>
      <w:tr>
        <w:trPr>
          <w:trHeight w:val="196"/>
        </w:trPr>
        <w:tc>
          <w:tcPr>
            <w:tcW w:w="2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3"/>
          </w:tcPr>
          <w:p>
            <w:pPr>
              <w:jc w:val="center"/>
              <w:ind w:right="88"/>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040" w:type="dxa"/>
            <w:vAlign w:val="bottom"/>
            <w:tcBorders>
              <w:bottom w:val="single" w:sz="8" w:color="2C6937"/>
            </w:tcBorders>
            <w:gridSpan w:val="3"/>
          </w:tcPr>
          <w:p>
            <w:pPr>
              <w:jc w:val="right"/>
              <w:ind w:right="786"/>
              <w:spacing w:after="0"/>
              <w:rPr>
                <w:sz w:val="20"/>
                <w:szCs w:val="20"/>
                <w:color w:val="auto"/>
              </w:rPr>
            </w:pPr>
            <w:r>
              <w:rPr>
                <w:rFonts w:ascii="Arial" w:cs="Arial" w:eastAsia="Arial" w:hAnsi="Arial"/>
                <w:sz w:val="14"/>
                <w:szCs w:val="14"/>
                <w:b w:val="1"/>
                <w:bCs w:val="1"/>
                <w:color w:val="auto"/>
              </w:rPr>
              <w:t>Portfolio Layer Method</w:t>
            </w:r>
          </w:p>
        </w:tc>
      </w:tr>
      <w:tr>
        <w:trPr>
          <w:trHeight w:val="337"/>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ind w:right="186"/>
              <w:spacing w:after="0"/>
              <w:rPr>
                <w:sz w:val="20"/>
                <w:szCs w:val="20"/>
                <w:color w:val="auto"/>
              </w:rPr>
            </w:pPr>
            <w:r>
              <w:rPr>
                <w:rFonts w:ascii="Arial" w:cs="Arial" w:eastAsia="Arial" w:hAnsi="Arial"/>
                <w:sz w:val="14"/>
                <w:szCs w:val="14"/>
                <w:b w:val="1"/>
                <w:bCs w:val="1"/>
                <w:color w:val="auto"/>
                <w:w w:val="97"/>
              </w:rPr>
              <w:t>Carrying Amount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68"/>
              <w:spacing w:after="0"/>
              <w:rPr>
                <w:sz w:val="20"/>
                <w:szCs w:val="20"/>
                <w:color w:val="auto"/>
              </w:rPr>
            </w:pPr>
            <w:r>
              <w:rPr>
                <w:rFonts w:ascii="Arial" w:cs="Arial" w:eastAsia="Arial" w:hAnsi="Arial"/>
                <w:sz w:val="14"/>
                <w:szCs w:val="14"/>
                <w:b w:val="1"/>
                <w:bCs w:val="1"/>
                <w:color w:val="auto"/>
                <w:w w:val="96"/>
              </w:rPr>
              <w:t>Total Basis</w:t>
            </w:r>
          </w:p>
        </w:tc>
        <w:tc>
          <w:tcPr>
            <w:tcW w:w="2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Remaining Adjustments -</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5"/>
        </w:trPr>
        <w:tc>
          <w:tcPr>
            <w:tcW w:w="2760" w:type="dxa"/>
            <w:vAlign w:val="bottom"/>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gridSpan w:val="2"/>
          </w:tcPr>
          <w:p>
            <w:pPr>
              <w:jc w:val="center"/>
              <w:ind w:right="106"/>
              <w:spacing w:after="0"/>
              <w:rPr>
                <w:sz w:val="20"/>
                <w:szCs w:val="20"/>
                <w:color w:val="auto"/>
              </w:rPr>
            </w:pPr>
            <w:r>
              <w:rPr>
                <w:rFonts w:ascii="Arial" w:cs="Arial" w:eastAsia="Arial" w:hAnsi="Arial"/>
                <w:sz w:val="14"/>
                <w:szCs w:val="14"/>
                <w:b w:val="1"/>
                <w:bCs w:val="1"/>
                <w:color w:val="auto"/>
                <w:w w:val="98"/>
              </w:rPr>
              <w:t>Assets (Liabilities)</w:t>
            </w: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jc w:val="center"/>
              <w:ind w:right="148"/>
              <w:spacing w:after="0"/>
              <w:rPr>
                <w:sz w:val="20"/>
                <w:szCs w:val="20"/>
                <w:color w:val="auto"/>
              </w:rPr>
            </w:pPr>
            <w:r>
              <w:rPr>
                <w:rFonts w:ascii="Arial" w:cs="Arial" w:eastAsia="Arial" w:hAnsi="Arial"/>
                <w:sz w:val="14"/>
                <w:szCs w:val="14"/>
                <w:b w:val="1"/>
                <w:bCs w:val="1"/>
                <w:color w:val="auto"/>
                <w:w w:val="94"/>
              </w:rPr>
              <w:t>Adjustments</w:t>
            </w:r>
            <w:r>
              <w:rPr>
                <w:rFonts w:ascii="Arial" w:cs="Arial" w:eastAsia="Arial" w:hAnsi="Arial"/>
                <w:sz w:val="17"/>
                <w:szCs w:val="17"/>
                <w:b w:val="1"/>
                <w:bCs w:val="1"/>
                <w:color w:val="auto"/>
                <w:w w:val="94"/>
                <w:vertAlign w:val="superscript"/>
              </w:rPr>
              <w:t>(1)(2)</w:t>
            </w:r>
          </w:p>
        </w:tc>
        <w:tc>
          <w:tcPr>
            <w:tcW w:w="220" w:type="dxa"/>
            <w:vAlign w:val="bottom"/>
            <w:tcBorders>
              <w:bottom w:val="single" w:sz="8" w:color="2C6937"/>
            </w:tcBorders>
          </w:tcPr>
          <w:p>
            <w:pPr>
              <w:spacing w:after="0"/>
              <w:rPr>
                <w:sz w:val="17"/>
                <w:szCs w:val="17"/>
                <w:color w:val="auto"/>
              </w:rPr>
            </w:pPr>
          </w:p>
        </w:tc>
        <w:tc>
          <w:tcPr>
            <w:tcW w:w="184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Discontinued Hedge</w:t>
            </w:r>
          </w:p>
        </w:tc>
        <w:tc>
          <w:tcPr>
            <w:tcW w:w="154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14"/>
                <w:szCs w:val="14"/>
                <w:b w:val="1"/>
                <w:bCs w:val="1"/>
                <w:color w:val="auto"/>
              </w:rPr>
              <w:t>Total Amortized Cost</w:t>
            </w:r>
          </w:p>
        </w:tc>
        <w:tc>
          <w:tcPr>
            <w:tcW w:w="30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85"/>
        </w:trPr>
        <w:tc>
          <w:tcPr>
            <w:tcW w:w="2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(Dollars in millions)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6"/>
        </w:trPr>
        <w:tc>
          <w:tcPr>
            <w:tcW w:w="2760" w:type="dxa"/>
            <w:vAlign w:val="bottom"/>
          </w:tcPr>
          <w:p>
            <w:pPr>
              <w:spacing w:after="0"/>
              <w:rPr>
                <w:sz w:val="20"/>
                <w:szCs w:val="20"/>
                <w:color w:val="auto"/>
              </w:rPr>
            </w:pPr>
            <w:r>
              <w:rPr>
                <w:rFonts w:ascii="Arial" w:cs="Arial" w:eastAsia="Arial" w:hAnsi="Arial"/>
                <w:sz w:val="15"/>
                <w:szCs w:val="15"/>
                <w:color w:val="auto"/>
              </w:rPr>
              <w:t>Mortgage loans HFI</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26"/>
              <w:spacing w:after="0"/>
              <w:rPr>
                <w:sz w:val="20"/>
                <w:szCs w:val="20"/>
                <w:color w:val="auto"/>
              </w:rPr>
            </w:pPr>
            <w:r>
              <w:rPr>
                <w:rFonts w:ascii="Arial" w:cs="Arial" w:eastAsia="Arial" w:hAnsi="Arial"/>
                <w:sz w:val="15"/>
                <w:szCs w:val="15"/>
                <w:color w:val="auto"/>
              </w:rPr>
              <w:t>854,132</w:t>
            </w: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28"/>
              <w:spacing w:after="0"/>
              <w:rPr>
                <w:sz w:val="20"/>
                <w:szCs w:val="20"/>
                <w:color w:val="auto"/>
              </w:rPr>
            </w:pPr>
            <w:r>
              <w:rPr>
                <w:rFonts w:ascii="Arial" w:cs="Arial" w:eastAsia="Arial" w:hAnsi="Arial"/>
                <w:sz w:val="15"/>
                <w:szCs w:val="15"/>
                <w:color w:val="auto"/>
              </w:rPr>
              <w:t>(510)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(510)</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497,361</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13,602</w:t>
            </w:r>
          </w:p>
        </w:tc>
      </w:tr>
      <w:tr>
        <w:trPr>
          <w:trHeight w:val="232"/>
        </w:trPr>
        <w:tc>
          <w:tcPr>
            <w:tcW w:w="2760" w:type="dxa"/>
            <w:vAlign w:val="bottom"/>
          </w:tcPr>
          <w:p>
            <w:pPr>
              <w:spacing w:after="0"/>
              <w:rPr>
                <w:sz w:val="20"/>
                <w:szCs w:val="20"/>
                <w:color w:val="auto"/>
              </w:rPr>
            </w:pPr>
            <w:r>
              <w:rPr>
                <w:rFonts w:ascii="Arial" w:cs="Arial" w:eastAsia="Arial" w:hAnsi="Arial"/>
                <w:sz w:val="15"/>
                <w:szCs w:val="15"/>
                <w:color w:val="auto"/>
              </w:rPr>
              <w:t>Debt of Fannie Mae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86"/>
              <w:spacing w:after="0"/>
              <w:rPr>
                <w:sz w:val="20"/>
                <w:szCs w:val="20"/>
                <w:color w:val="auto"/>
              </w:rPr>
            </w:pPr>
            <w:r>
              <w:rPr>
                <w:rFonts w:ascii="Arial" w:cs="Arial" w:eastAsia="Arial" w:hAnsi="Arial"/>
                <w:sz w:val="15"/>
                <w:szCs w:val="15"/>
                <w:color w:val="auto"/>
              </w:rPr>
              <w:t>(56,889)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68"/>
              <w:spacing w:after="0"/>
              <w:rPr>
                <w:sz w:val="20"/>
                <w:szCs w:val="20"/>
                <w:color w:val="auto"/>
              </w:rPr>
            </w:pPr>
            <w:r>
              <w:rPr>
                <w:rFonts w:ascii="Arial" w:cs="Arial" w:eastAsia="Arial" w:hAnsi="Arial"/>
                <w:sz w:val="15"/>
                <w:szCs w:val="15"/>
                <w:color w:val="auto"/>
              </w:rPr>
              <w:t>3,880</w:t>
            </w:r>
          </w:p>
        </w:tc>
        <w:tc>
          <w:tcPr>
            <w:tcW w:w="220" w:type="dxa"/>
            <w:vAlign w:val="bottom"/>
          </w:tcPr>
          <w:p>
            <w:pPr>
              <w:spacing w:after="0"/>
              <w:rPr>
                <w:sz w:val="20"/>
                <w:szCs w:val="20"/>
                <w:color w:val="auto"/>
              </w:rPr>
            </w:pPr>
          </w:p>
        </w:tc>
        <w:tc>
          <w:tcPr>
            <w:tcW w:w="1700" w:type="dxa"/>
            <w:vAlign w:val="bottom"/>
          </w:tcPr>
          <w:p>
            <w:pPr>
              <w:jc w:val="right"/>
              <w:ind w:right="8"/>
              <w:spacing w:after="0"/>
              <w:rPr>
                <w:sz w:val="20"/>
                <w:szCs w:val="20"/>
                <w:color w:val="auto"/>
              </w:rPr>
            </w:pPr>
            <w:r>
              <w:rPr>
                <w:rFonts w:ascii="Arial" w:cs="Arial" w:eastAsia="Arial" w:hAnsi="Arial"/>
                <w:sz w:val="15"/>
                <w:szCs w:val="15"/>
                <w:color w:val="auto"/>
              </w:rPr>
              <w:t>3,880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27"/>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20"/>
                <w:szCs w:val="20"/>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N/A</w:t>
            </w:r>
          </w:p>
        </w:tc>
      </w:tr>
      <w:tr>
        <w:trPr>
          <w:trHeight w:val="388"/>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4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As of December 31, 2023</w:t>
            </w:r>
          </w:p>
        </w:tc>
        <w:tc>
          <w:tcPr>
            <w:tcW w:w="16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spacing w:after="0"/>
              <w:rPr>
                <w:sz w:val="24"/>
                <w:szCs w:val="24"/>
                <w:color w:val="auto"/>
              </w:rPr>
            </w:pPr>
          </w:p>
        </w:tc>
      </w:tr>
      <w:tr>
        <w:trPr>
          <w:trHeight w:val="332"/>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7"/>
              </w:rPr>
              <w:t>Cumulative Amount of Fair Value Hedging Basis</w:t>
            </w:r>
          </w:p>
        </w:tc>
        <w:tc>
          <w:tcPr>
            <w:tcW w:w="160" w:type="dxa"/>
            <w:vAlign w:val="bottom"/>
          </w:tcPr>
          <w:p>
            <w:pPr>
              <w:spacing w:after="0"/>
              <w:rPr>
                <w:sz w:val="24"/>
                <w:szCs w:val="24"/>
                <w:color w:val="auto"/>
              </w:rPr>
            </w:pPr>
          </w:p>
        </w:tc>
        <w:tc>
          <w:tcPr>
            <w:tcW w:w="304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w w:val="99"/>
              </w:rPr>
              <w:t>Closed Portfolio of Mortgage Loans Under</w:t>
            </w:r>
          </w:p>
        </w:tc>
      </w:tr>
      <w:tr>
        <w:trPr>
          <w:trHeight w:val="196"/>
        </w:trPr>
        <w:tc>
          <w:tcPr>
            <w:tcW w:w="2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3"/>
          </w:tcPr>
          <w:p>
            <w:pPr>
              <w:jc w:val="center"/>
              <w:ind w:right="48"/>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040" w:type="dxa"/>
            <w:vAlign w:val="bottom"/>
            <w:tcBorders>
              <w:bottom w:val="single" w:sz="8" w:color="2C6937"/>
            </w:tcBorders>
            <w:gridSpan w:val="3"/>
          </w:tcPr>
          <w:p>
            <w:pPr>
              <w:jc w:val="right"/>
              <w:ind w:right="766"/>
              <w:spacing w:after="0"/>
              <w:rPr>
                <w:sz w:val="20"/>
                <w:szCs w:val="20"/>
                <w:color w:val="auto"/>
              </w:rPr>
            </w:pPr>
            <w:r>
              <w:rPr>
                <w:rFonts w:ascii="Arial" w:cs="Arial" w:eastAsia="Arial" w:hAnsi="Arial"/>
                <w:sz w:val="14"/>
                <w:szCs w:val="14"/>
                <w:b w:val="1"/>
                <w:bCs w:val="1"/>
                <w:color w:val="auto"/>
              </w:rPr>
              <w:t>Portfolio Layer Method</w:t>
            </w:r>
          </w:p>
        </w:tc>
      </w:tr>
      <w:tr>
        <w:trPr>
          <w:trHeight w:val="337"/>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ind w:right="146"/>
              <w:spacing w:after="0"/>
              <w:rPr>
                <w:sz w:val="20"/>
                <w:szCs w:val="20"/>
                <w:color w:val="auto"/>
              </w:rPr>
            </w:pPr>
            <w:r>
              <w:rPr>
                <w:rFonts w:ascii="Arial" w:cs="Arial" w:eastAsia="Arial" w:hAnsi="Arial"/>
                <w:sz w:val="14"/>
                <w:szCs w:val="14"/>
                <w:b w:val="1"/>
                <w:bCs w:val="1"/>
                <w:color w:val="auto"/>
                <w:w w:val="97"/>
              </w:rPr>
              <w:t>Carrying Amount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Total Basis</w:t>
            </w:r>
          </w:p>
        </w:tc>
        <w:tc>
          <w:tcPr>
            <w:tcW w:w="2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Remaining Adjustments -</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5"/>
        </w:trPr>
        <w:tc>
          <w:tcPr>
            <w:tcW w:w="2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60" w:type="dxa"/>
            <w:vAlign w:val="bottom"/>
            <w:tcBorders>
              <w:bottom w:val="single" w:sz="8" w:color="2C6937"/>
            </w:tcBorders>
          </w:tcPr>
          <w:p>
            <w:pPr>
              <w:jc w:val="center"/>
              <w:ind w:right="166"/>
              <w:spacing w:after="0"/>
              <w:rPr>
                <w:sz w:val="20"/>
                <w:szCs w:val="20"/>
                <w:color w:val="auto"/>
              </w:rPr>
            </w:pPr>
            <w:r>
              <w:rPr>
                <w:rFonts w:ascii="Arial" w:cs="Arial" w:eastAsia="Arial" w:hAnsi="Arial"/>
                <w:sz w:val="14"/>
                <w:szCs w:val="14"/>
                <w:b w:val="1"/>
                <w:bCs w:val="1"/>
                <w:color w:val="auto"/>
                <w:w w:val="98"/>
              </w:rPr>
              <w:t>Assets (Liabilities)</w:t>
            </w: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jc w:val="center"/>
              <w:ind w:right="128"/>
              <w:spacing w:after="0"/>
              <w:rPr>
                <w:sz w:val="20"/>
                <w:szCs w:val="20"/>
                <w:color w:val="auto"/>
              </w:rPr>
            </w:pPr>
            <w:r>
              <w:rPr>
                <w:rFonts w:ascii="Arial" w:cs="Arial" w:eastAsia="Arial" w:hAnsi="Arial"/>
                <w:sz w:val="14"/>
                <w:szCs w:val="14"/>
                <w:b w:val="1"/>
                <w:bCs w:val="1"/>
                <w:color w:val="auto"/>
                <w:w w:val="92"/>
              </w:rPr>
              <w:t>Adjustments</w:t>
            </w:r>
            <w:r>
              <w:rPr>
                <w:rFonts w:ascii="Arial" w:cs="Arial" w:eastAsia="Arial" w:hAnsi="Arial"/>
                <w:sz w:val="17"/>
                <w:szCs w:val="17"/>
                <w:b w:val="1"/>
                <w:bCs w:val="1"/>
                <w:color w:val="auto"/>
                <w:w w:val="92"/>
                <w:vertAlign w:val="superscript"/>
              </w:rPr>
              <w:t>(1)(2)</w:t>
            </w:r>
          </w:p>
        </w:tc>
        <w:tc>
          <w:tcPr>
            <w:tcW w:w="220" w:type="dxa"/>
            <w:vAlign w:val="bottom"/>
            <w:tcBorders>
              <w:bottom w:val="single" w:sz="8" w:color="2C6937"/>
            </w:tcBorders>
          </w:tcPr>
          <w:p>
            <w:pPr>
              <w:spacing w:after="0"/>
              <w:rPr>
                <w:sz w:val="17"/>
                <w:szCs w:val="17"/>
                <w:color w:val="auto"/>
              </w:rPr>
            </w:pPr>
          </w:p>
        </w:tc>
        <w:tc>
          <w:tcPr>
            <w:tcW w:w="184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7"/>
              </w:rPr>
              <w:t>Discontinued Hedge</w:t>
            </w:r>
          </w:p>
        </w:tc>
        <w:tc>
          <w:tcPr>
            <w:tcW w:w="154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14"/>
                <w:szCs w:val="14"/>
                <w:b w:val="1"/>
                <w:bCs w:val="1"/>
                <w:color w:val="auto"/>
              </w:rPr>
              <w:t>Total Amortized Cost</w:t>
            </w:r>
          </w:p>
        </w:tc>
        <w:tc>
          <w:tcPr>
            <w:tcW w:w="30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85"/>
        </w:trPr>
        <w:tc>
          <w:tcPr>
            <w:tcW w:w="2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(Dollars in millions)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6"/>
        </w:trPr>
        <w:tc>
          <w:tcPr>
            <w:tcW w:w="2760" w:type="dxa"/>
            <w:vAlign w:val="bottom"/>
          </w:tcPr>
          <w:p>
            <w:pPr>
              <w:spacing w:after="0"/>
              <w:rPr>
                <w:sz w:val="20"/>
                <w:szCs w:val="20"/>
                <w:color w:val="auto"/>
              </w:rPr>
            </w:pPr>
            <w:r>
              <w:rPr>
                <w:rFonts w:ascii="Arial" w:cs="Arial" w:eastAsia="Arial" w:hAnsi="Arial"/>
                <w:sz w:val="15"/>
                <w:szCs w:val="15"/>
                <w:color w:val="auto"/>
              </w:rPr>
              <w:t>Mortgage loans HFI</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26"/>
              <w:spacing w:after="0"/>
              <w:rPr>
                <w:sz w:val="20"/>
                <w:szCs w:val="20"/>
                <w:color w:val="auto"/>
              </w:rPr>
            </w:pPr>
            <w:r>
              <w:rPr>
                <w:rFonts w:ascii="Arial" w:cs="Arial" w:eastAsia="Arial" w:hAnsi="Arial"/>
                <w:sz w:val="15"/>
                <w:szCs w:val="15"/>
                <w:color w:val="auto"/>
              </w:rPr>
              <w:t>449,137</w:t>
            </w:r>
          </w:p>
        </w:tc>
        <w:tc>
          <w:tcPr>
            <w:tcW w:w="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8"/>
              <w:spacing w:after="0"/>
              <w:rPr>
                <w:sz w:val="20"/>
                <w:szCs w:val="20"/>
                <w:color w:val="auto"/>
              </w:rPr>
            </w:pPr>
            <w:r>
              <w:rPr>
                <w:rFonts w:ascii="Arial" w:cs="Arial" w:eastAsia="Arial" w:hAnsi="Arial"/>
                <w:sz w:val="15"/>
                <w:szCs w:val="15"/>
                <w:color w:val="auto"/>
              </w:rPr>
              <w:t>(174)</w:t>
            </w:r>
          </w:p>
        </w:tc>
        <w:tc>
          <w:tcPr>
            <w:tcW w:w="22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(174)</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218,419</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9,955</w:t>
            </w:r>
          </w:p>
        </w:tc>
      </w:tr>
      <w:tr>
        <w:trPr>
          <w:trHeight w:val="232"/>
        </w:trPr>
        <w:tc>
          <w:tcPr>
            <w:tcW w:w="2760" w:type="dxa"/>
            <w:vAlign w:val="bottom"/>
          </w:tcPr>
          <w:p>
            <w:pPr>
              <w:spacing w:after="0"/>
              <w:rPr>
                <w:sz w:val="20"/>
                <w:szCs w:val="20"/>
                <w:color w:val="auto"/>
              </w:rPr>
            </w:pPr>
            <w:r>
              <w:rPr>
                <w:rFonts w:ascii="Arial" w:cs="Arial" w:eastAsia="Arial" w:hAnsi="Arial"/>
                <w:sz w:val="15"/>
                <w:szCs w:val="15"/>
                <w:color w:val="auto"/>
              </w:rPr>
              <w:t>Debt of Fannie Mae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66"/>
              <w:spacing w:after="0"/>
              <w:rPr>
                <w:sz w:val="20"/>
                <w:szCs w:val="20"/>
                <w:color w:val="auto"/>
              </w:rPr>
            </w:pPr>
            <w:r>
              <w:rPr>
                <w:rFonts w:ascii="Arial" w:cs="Arial" w:eastAsia="Arial" w:hAnsi="Arial"/>
                <w:sz w:val="15"/>
                <w:szCs w:val="15"/>
                <w:color w:val="auto"/>
              </w:rPr>
              <w:t>(59,462)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48"/>
              <w:spacing w:after="0"/>
              <w:rPr>
                <w:sz w:val="20"/>
                <w:szCs w:val="20"/>
                <w:color w:val="auto"/>
              </w:rPr>
            </w:pPr>
            <w:r>
              <w:rPr>
                <w:rFonts w:ascii="Arial" w:cs="Arial" w:eastAsia="Arial" w:hAnsi="Arial"/>
                <w:sz w:val="15"/>
                <w:szCs w:val="15"/>
                <w:color w:val="auto"/>
              </w:rPr>
              <w:t>3,751</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3,751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7"/>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20"/>
                <w:szCs w:val="20"/>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N/A</w:t>
            </w:r>
          </w:p>
        </w:tc>
      </w:tr>
    </w:tbl>
    <w:p>
      <w:pPr>
        <w:spacing w:after="0" w:line="96" w:lineRule="exact"/>
        <w:rPr>
          <w:sz w:val="20"/>
          <w:szCs w:val="20"/>
          <w:color w:val="auto"/>
        </w:rPr>
      </w:pPr>
    </w:p>
    <w:p>
      <w:pPr>
        <w:ind w:left="220" w:hanging="217"/>
        <w:spacing w:after="0"/>
        <w:tabs>
          <w:tab w:leader="none" w:pos="220" w:val="left"/>
        </w:tabs>
        <w:numPr>
          <w:ilvl w:val="0"/>
          <w:numId w:val="89"/>
        </w:numPr>
        <w:rPr>
          <w:rFonts w:ascii="Arial" w:cs="Arial" w:eastAsia="Arial" w:hAnsi="Arial"/>
          <w:sz w:val="18"/>
          <w:szCs w:val="18"/>
          <w:color w:val="auto"/>
          <w:vertAlign w:val="superscript"/>
        </w:rPr>
      </w:pPr>
      <w:r>
        <w:rPr>
          <w:rFonts w:ascii="Arial" w:cs="Arial" w:eastAsia="Arial" w:hAnsi="Arial"/>
          <w:sz w:val="14"/>
          <w:szCs w:val="14"/>
          <w:color w:val="auto"/>
        </w:rPr>
        <w:t>No basis adjustment associated with open hedges, as all hedges are designated at the close of business with a one-day term.</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89"/>
        </w:numPr>
        <w:rPr>
          <w:rFonts w:ascii="Arial" w:cs="Arial" w:eastAsia="Arial" w:hAnsi="Arial"/>
          <w:sz w:val="9"/>
          <w:szCs w:val="9"/>
          <w:color w:val="auto"/>
        </w:rPr>
      </w:pPr>
      <w:r>
        <w:rPr>
          <w:rFonts w:ascii="Arial" w:cs="Arial" w:eastAsia="Arial" w:hAnsi="Arial"/>
          <w:sz w:val="14"/>
          <w:szCs w:val="14"/>
          <w:color w:val="auto"/>
        </w:rPr>
        <w:t>Based on the unamortized balance of the hedge-related cost basis.</w:t>
      </w:r>
    </w:p>
    <w:p>
      <w:pPr>
        <w:spacing w:after="0" w:line="155"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Derivative Counterparty Credit Exposure</w:t>
      </w:r>
    </w:p>
    <w:p>
      <w:pPr>
        <w:spacing w:after="0" w:line="8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derivative counterparty credit exposure relates principally to interest-rate derivative contracts. We are exposed to the risk that a counterparty in a derivative transaction will default on payments due to us, which may require us to seek a replacement derivative from a different counterparty. This replacement may be at a higher cost, or we may be unable to find a suitable replacement. We manage our derivative counterparty credit exposure relating to our risk management derivative transactions mainly through enforceable master netting arrangements, which allow us to net derivative assets and liabilities with the same counterparty or clearing organization and clearing member. For our OTC derivative transactions, we require counterparties to post collateral, which may include cash, U.S. Treasury securities, agency debt and agency mortgage-related securities. See “Note 12, Netting Arrangements” for information on our rights to offset assets and liabilities as of June 30, 2024 and December 31, 2023.</w:t>
      </w:r>
    </w:p>
    <w:p>
      <w:pPr>
        <w:spacing w:after="0" w:line="4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For certain OTC derivatives, the amount of collateral we pledge to counterparties related to our derivative instruments is determined after considering our credit ratings. Currently, our long-term senior debt is rated AA+ or above by S&amp;P Global Ratings and Moody's Investors Service. If our long-term senior debt credit ratings were downgraded to established thresholds in our OTC derivative contracts, which range from A3/A- to Baa2/BBB or below, we would be required to provide additional collateral to certain counterparties. The aggregate fair value of our OTC derivative instruments with credit-risk-related contingent features that were in a net liability position was $1.7 billion and $1.8 billion, for which we posted collateral of $1.4 billion and $1.6 billion as of June 30, 2024 and December 31, 2023, respectively. If our credit ratings were downgraded to Baa2/BBB or below, the maximum additional collateral we would have been required to post to our counterparties as of June 30, 2024 and December 31, 2023 would have been $815 million and $798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495300</wp:posOffset>
            </wp:positionV>
            <wp:extent cx="680593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6" w:name="page97"/>
    <w:bookmarkEnd w:id="96"/>
    <w:p>
      <w:pPr>
        <w:ind w:left="6420"/>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10. Segment Reporting</w:t>
      </w:r>
    </w:p>
    <w:p>
      <w:pPr>
        <w:spacing w:after="0" w:line="8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have two reportable business segments, which are based on the type of business activities each perform: Single-Family and Multifamily. Results of our two business segments are intended to reflect each segment as if it were a stand-alone business. The sum of the results for our two business segments equals our condensed consolidated results of operations. For additional information related to our business segments, including basis of organization and other segment activities, see “Note 11, Segment Reporting” in our 2023 Form 10-K.</w:t>
      </w:r>
    </w:p>
    <w:p>
      <w:pPr>
        <w:spacing w:after="0" w:line="68"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Segment Allocations and Results</w:t>
      </w:r>
    </w:p>
    <w:p>
      <w:pPr>
        <w:spacing w:after="0" w:line="6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majority of our revenues and expenses are directly associated with each respective business segment and are included in determining its operating results. Those revenues and expenses that are not directly attributable to a particular business segment are allocated based on the size of each segment’s guaranty book of business. As a result, the sum of each income statement line item for the two reportable segments is equal to that same income statement line item for the consolidated entity.</w:t>
      </w:r>
    </w:p>
    <w:p>
      <w:pPr>
        <w:spacing w:after="0" w:line="3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substantial majority of the gains and losses associated with our risk management derivatives, including the impact of hedge accounting, are allocated to our Single-Family business segment. In the current period, there were no significant changes to our segment allocation 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342900</wp:posOffset>
            </wp:positionV>
            <wp:extent cx="680593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7" w:name="page98"/>
    <w:bookmarkEnd w:id="97"/>
    <w:p>
      <w:pPr>
        <w:ind w:left="6420"/>
        <w:spacing w:after="0"/>
        <w:rPr>
          <w:sz w:val="20"/>
          <w:szCs w:val="20"/>
          <w:color w:val="auto"/>
        </w:rPr>
      </w:pPr>
      <w:r>
        <w:rPr>
          <w:rFonts w:ascii="Arial" w:cs="Arial" w:eastAsia="Arial" w:hAnsi="Arial"/>
          <w:sz w:val="13"/>
          <w:szCs w:val="13"/>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our segment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(1)</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5"/>
          <w:szCs w:val="15"/>
          <w:color w:val="auto"/>
        </w:rPr>
        <w:t>Fee and other income</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10795</wp:posOffset>
            </wp:positionV>
            <wp:extent cx="28651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Net revenues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Investment gains (losses), net</w:t>
      </w:r>
      <w:r>
        <w:rPr>
          <w:rFonts w:ascii="Arial" w:cs="Arial" w:eastAsia="Arial" w:hAnsi="Arial"/>
          <w:sz w:val="18"/>
          <w:szCs w:val="18"/>
          <w:color w:val="auto"/>
          <w:vertAlign w:val="superscript"/>
        </w:rPr>
        <w:t>(3)</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5"/>
          <w:szCs w:val="15"/>
          <w:color w:val="auto"/>
        </w:rPr>
        <w:t>Fair value gains (losses), net</w:t>
      </w:r>
      <w:r>
        <w:rPr>
          <w:rFonts w:ascii="Arial" w:cs="Arial" w:eastAsia="Arial" w:hAnsi="Arial"/>
          <w:sz w:val="18"/>
          <w:szCs w:val="18"/>
          <w:color w:val="auto"/>
          <w:vertAlign w:val="superscript"/>
        </w:rPr>
        <w:t>(4)</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5"/>
          <w:szCs w:val="15"/>
          <w:color w:val="auto"/>
        </w:rPr>
        <w:t>Administrative expenses</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5"/>
          <w:szCs w:val="15"/>
          <w:color w:val="auto"/>
        </w:rPr>
        <w:t>Benefit (provision) for credit losses</w:t>
      </w:r>
      <w:r>
        <w:rPr>
          <w:rFonts w:ascii="Arial" w:cs="Arial" w:eastAsia="Arial" w:hAnsi="Arial"/>
          <w:sz w:val="18"/>
          <w:szCs w:val="18"/>
          <w:color w:val="auto"/>
          <w:vertAlign w:val="superscript"/>
        </w:rPr>
        <w:t>(5)</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5"/>
          <w:szCs w:val="15"/>
          <w:color w:val="auto"/>
        </w:rPr>
        <w:t>TCCA fees</w:t>
      </w:r>
      <w:r>
        <w:rPr>
          <w:rFonts w:ascii="Arial" w:cs="Arial" w:eastAsia="Arial" w:hAnsi="Arial"/>
          <w:sz w:val="18"/>
          <w:szCs w:val="18"/>
          <w:color w:val="auto"/>
          <w:vertAlign w:val="superscript"/>
        </w:rPr>
        <w:t>(6)</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(7)</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Change in expected credit enhancement recoveries</w:t>
      </w:r>
      <w:r>
        <w:rPr>
          <w:rFonts w:ascii="Arial" w:cs="Arial" w:eastAsia="Arial" w:hAnsi="Arial"/>
          <w:sz w:val="17"/>
          <w:szCs w:val="17"/>
          <w:color w:val="auto"/>
          <w:vertAlign w:val="superscript"/>
        </w:rPr>
        <w:t>(8)</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Other expenses, net</w:t>
      </w:r>
      <w:r>
        <w:rPr>
          <w:rFonts w:ascii="Arial" w:cs="Arial" w:eastAsia="Arial" w:hAnsi="Arial"/>
          <w:sz w:val="18"/>
          <w:szCs w:val="18"/>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28651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ind w:left="40" w:right="1560"/>
        <w:spacing w:after="0" w:line="287" w:lineRule="auto"/>
        <w:rPr>
          <w:sz w:val="20"/>
          <w:szCs w:val="20"/>
          <w:color w:val="auto"/>
        </w:rPr>
      </w:pPr>
      <w:r>
        <w:rPr>
          <w:rFonts w:ascii="Arial" w:cs="Arial" w:eastAsia="Arial" w:hAnsi="Arial"/>
          <w:sz w:val="14"/>
          <w:szCs w:val="14"/>
          <w:color w:val="auto"/>
        </w:rPr>
        <w:t>Income before federal income taxes Provision for federal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-4445</wp:posOffset>
            </wp:positionV>
            <wp:extent cx="28651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wp:posOffset>
            </wp:positionV>
            <wp:extent cx="28651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86512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40640</wp:posOffset>
            </wp:positionV>
            <wp:extent cx="28651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5"/>
          <w:szCs w:val="15"/>
          <w:b w:val="1"/>
          <w:bCs w:val="1"/>
          <w:color w:val="auto"/>
        </w:rPr>
        <w:t>For the Three Months Ended 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Borders>
              <w:top w:val="single" w:sz="8" w:color="2C6937"/>
              <w:bottom w:val="single" w:sz="8" w:color="2C6937"/>
            </w:tcBorders>
          </w:tcPr>
          <w:p>
            <w:pPr>
              <w:spacing w:after="0"/>
              <w:rPr>
                <w:sz w:val="16"/>
                <w:szCs w:val="16"/>
                <w:color w:val="auto"/>
              </w:rPr>
            </w:pPr>
          </w:p>
        </w:tc>
        <w:tc>
          <w:tcPr>
            <w:tcW w:w="680" w:type="dxa"/>
            <w:vAlign w:val="bottom"/>
            <w:tcBorders>
              <w:top w:val="single" w:sz="8" w:color="2C6937"/>
              <w:bottom w:val="single" w:sz="8" w:color="2C6937"/>
            </w:tcBorders>
          </w:tcPr>
          <w:p>
            <w:pPr>
              <w:spacing w:after="0"/>
              <w:rPr>
                <w:sz w:val="16"/>
                <w:szCs w:val="16"/>
                <w:color w:val="auto"/>
              </w:rPr>
            </w:pPr>
          </w:p>
        </w:tc>
        <w:tc>
          <w:tcPr>
            <w:tcW w:w="80" w:type="dxa"/>
            <w:vAlign w:val="bottom"/>
            <w:tcBorders>
              <w:top w:val="single" w:sz="8" w:color="2C6937"/>
              <w:bottom w:val="single" w:sz="8" w:color="2C6937"/>
            </w:tcBorders>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ind w:right="367"/>
              <w:spacing w:after="0"/>
              <w:rPr>
                <w:sz w:val="20"/>
                <w:szCs w:val="20"/>
                <w:color w:val="auto"/>
              </w:rPr>
            </w:pPr>
            <w:r>
              <w:rPr>
                <w:rFonts w:ascii="Arial" w:cs="Arial" w:eastAsia="Arial" w:hAnsi="Arial"/>
                <w:sz w:val="15"/>
                <w:szCs w:val="15"/>
                <w:b w:val="1"/>
                <w:bCs w:val="1"/>
                <w:color w:val="auto"/>
              </w:rPr>
              <w:t>2024</w:t>
            </w:r>
          </w:p>
        </w:tc>
        <w:tc>
          <w:tcPr>
            <w:tcW w:w="120" w:type="dxa"/>
            <w:vAlign w:val="bottom"/>
            <w:tcBorders>
              <w:top w:val="single" w:sz="8" w:color="2C6937"/>
              <w:bottom w:val="single" w:sz="8" w:color="2C6937"/>
            </w:tcBorders>
          </w:tcPr>
          <w:p>
            <w:pPr>
              <w:spacing w:after="0"/>
              <w:rPr>
                <w:sz w:val="16"/>
                <w:szCs w:val="16"/>
                <w:color w:val="auto"/>
              </w:rPr>
            </w:pPr>
          </w:p>
        </w:tc>
        <w:tc>
          <w:tcPr>
            <w:tcW w:w="18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spacing w:after="0"/>
              <w:rPr>
                <w:sz w:val="16"/>
                <w:szCs w:val="16"/>
                <w:color w:val="auto"/>
              </w:rPr>
            </w:pPr>
          </w:p>
        </w:tc>
        <w:tc>
          <w:tcPr>
            <w:tcW w:w="100" w:type="dxa"/>
            <w:vAlign w:val="bottom"/>
            <w:tcBorders>
              <w:top w:val="single" w:sz="8" w:color="2C6937"/>
            </w:tcBorders>
          </w:tcPr>
          <w:p>
            <w:pPr>
              <w:spacing w:after="0"/>
              <w:rPr>
                <w:sz w:val="16"/>
                <w:szCs w:val="16"/>
                <w:color w:val="auto"/>
              </w:rPr>
            </w:pPr>
          </w:p>
        </w:tc>
        <w:tc>
          <w:tcPr>
            <w:tcW w:w="320" w:type="dxa"/>
            <w:vAlign w:val="bottom"/>
            <w:tcBorders>
              <w:top w:val="single" w:sz="8" w:color="2C6937"/>
              <w:bottom w:val="single" w:sz="8" w:color="2C6937"/>
            </w:tcBorders>
          </w:tcPr>
          <w:p>
            <w:pPr>
              <w:spacing w:after="0"/>
              <w:rPr>
                <w:sz w:val="16"/>
                <w:szCs w:val="16"/>
                <w:color w:val="auto"/>
              </w:rPr>
            </w:pPr>
          </w:p>
        </w:tc>
        <w:tc>
          <w:tcPr>
            <w:tcW w:w="700" w:type="dxa"/>
            <w:vAlign w:val="bottom"/>
            <w:tcBorders>
              <w:top w:val="single" w:sz="8" w:color="2C6937"/>
              <w:bottom w:val="single" w:sz="8" w:color="2C6937"/>
            </w:tcBorders>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ind w:right="387"/>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2C6937"/>
              <w:bottom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spacing w:after="0"/>
              <w:rPr>
                <w:sz w:val="16"/>
                <w:szCs w:val="16"/>
                <w:color w:val="auto"/>
              </w:rPr>
            </w:pPr>
          </w:p>
        </w:tc>
      </w:tr>
      <w:tr>
        <w:trPr>
          <w:trHeight w:val="225"/>
        </w:trPr>
        <w:tc>
          <w:tcPr>
            <w:tcW w:w="1080" w:type="dxa"/>
            <w:vAlign w:val="bottom"/>
            <w:tcBorders>
              <w:bottom w:val="single" w:sz="8" w:color="2C6937"/>
            </w:tcBorders>
            <w:gridSpan w:val="3"/>
          </w:tcPr>
          <w:p>
            <w:pPr>
              <w:ind w:left="2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8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gridSpan w:val="2"/>
          </w:tcPr>
          <w:p>
            <w:pPr>
              <w:ind w:left="100"/>
              <w:spacing w:after="0"/>
              <w:rPr>
                <w:sz w:val="20"/>
                <w:szCs w:val="20"/>
                <w:color w:val="auto"/>
              </w:rPr>
            </w:pPr>
            <w:r>
              <w:rPr>
                <w:rFonts w:ascii="Arial" w:cs="Arial" w:eastAsia="Arial" w:hAnsi="Arial"/>
                <w:sz w:val="15"/>
                <w:szCs w:val="15"/>
                <w:b w:val="1"/>
                <w:bCs w:val="1"/>
                <w:color w:val="auto"/>
              </w:rPr>
              <w:t>Total</w:t>
            </w:r>
          </w:p>
        </w:tc>
        <w:tc>
          <w:tcPr>
            <w:tcW w:w="1140" w:type="dxa"/>
            <w:vAlign w:val="bottom"/>
            <w:tcBorders>
              <w:bottom w:val="single" w:sz="8" w:color="2C6937"/>
            </w:tcBorders>
            <w:gridSpan w:val="3"/>
          </w:tcPr>
          <w:p>
            <w:pPr>
              <w:ind w:left="4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20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ind w:right="227"/>
              <w:spacing w:after="0"/>
              <w:rPr>
                <w:sz w:val="20"/>
                <w:szCs w:val="20"/>
                <w:color w:val="auto"/>
              </w:rPr>
            </w:pPr>
            <w:r>
              <w:rPr>
                <w:rFonts w:ascii="Arial" w:cs="Arial" w:eastAsia="Arial" w:hAnsi="Arial"/>
                <w:sz w:val="15"/>
                <w:szCs w:val="15"/>
                <w:b w:val="1"/>
                <w:bCs w:val="1"/>
                <w:color w:val="auto"/>
              </w:rPr>
              <w:t>Total</w:t>
            </w:r>
          </w:p>
        </w:tc>
      </w:tr>
      <w:tr>
        <w:trPr>
          <w:trHeight w:val="193"/>
        </w:trPr>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ind w:left="120"/>
              <w:spacing w:after="0"/>
              <w:rPr>
                <w:sz w:val="20"/>
                <w:szCs w:val="20"/>
                <w:color w:val="auto"/>
              </w:rPr>
            </w:pPr>
            <w:r>
              <w:rPr>
                <w:rFonts w:ascii="Arial" w:cs="Arial" w:eastAsia="Arial" w:hAnsi="Arial"/>
                <w:sz w:val="15"/>
                <w:szCs w:val="15"/>
                <w:b w:val="1"/>
                <w:bCs w:val="1"/>
                <w:color w:val="auto"/>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05"/>
        </w:trPr>
        <w:tc>
          <w:tcPr>
            <w:tcW w:w="320" w:type="dxa"/>
            <w:vAlign w:val="bottom"/>
          </w:tcPr>
          <w:p>
            <w:pPr>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6,096</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1,172</w:t>
            </w:r>
          </w:p>
        </w:tc>
        <w:tc>
          <w:tcPr>
            <w:tcW w:w="120" w:type="dxa"/>
            <w:vAlign w:val="bottom"/>
          </w:tcPr>
          <w:p>
            <w:pPr>
              <w:spacing w:after="0"/>
              <w:rPr>
                <w:sz w:val="24"/>
                <w:szCs w:val="24"/>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7,268</w:t>
            </w:r>
          </w:p>
        </w:tc>
        <w:tc>
          <w:tcPr>
            <w:tcW w:w="100" w:type="dxa"/>
            <w:vAlign w:val="bottom"/>
          </w:tcPr>
          <w:p>
            <w:pPr>
              <w:spacing w:after="0"/>
              <w:rPr>
                <w:sz w:val="24"/>
                <w:szCs w:val="24"/>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5,917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1,118</w:t>
            </w:r>
          </w:p>
        </w:tc>
        <w:tc>
          <w:tcPr>
            <w:tcW w:w="100" w:type="dxa"/>
            <w:vAlign w:val="bottom"/>
          </w:tcPr>
          <w:p>
            <w:pPr>
              <w:spacing w:after="0"/>
              <w:rPr>
                <w:sz w:val="24"/>
                <w:szCs w:val="24"/>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7,035</w:t>
            </w:r>
          </w:p>
        </w:tc>
      </w:tr>
      <w:tr>
        <w:trPr>
          <w:trHeight w:val="307"/>
        </w:trPr>
        <w:tc>
          <w:tcPr>
            <w:tcW w:w="32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51</w:t>
            </w:r>
          </w:p>
        </w:tc>
        <w:tc>
          <w:tcPr>
            <w:tcW w:w="8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w:t>
            </w:r>
          </w:p>
        </w:tc>
        <w:tc>
          <w:tcPr>
            <w:tcW w:w="12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68</w:t>
            </w:r>
          </w:p>
        </w:tc>
        <w:tc>
          <w:tcPr>
            <w:tcW w:w="10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w:t>
            </w:r>
          </w:p>
        </w:tc>
        <w:tc>
          <w:tcPr>
            <w:tcW w:w="12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70</w:t>
            </w:r>
          </w:p>
        </w:tc>
      </w:tr>
      <w:tr>
        <w:trPr>
          <w:trHeight w:val="193"/>
        </w:trPr>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6,147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1,189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7,336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5,969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1,136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7,105</w:t>
            </w:r>
          </w:p>
        </w:tc>
      </w:tr>
      <w:tr>
        <w:trPr>
          <w:trHeight w:val="305"/>
        </w:trPr>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(70)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(62)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25</w:t>
            </w:r>
          </w:p>
        </w:tc>
      </w:tr>
      <w:tr>
        <w:trPr>
          <w:trHeight w:val="303"/>
        </w:trPr>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454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447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460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404</w:t>
            </w:r>
          </w:p>
        </w:tc>
      </w:tr>
      <w:tr>
        <w:trPr>
          <w:trHeight w:val="193"/>
        </w:trPr>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(784)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(939)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(864)</w:t>
            </w:r>
          </w:p>
        </w:tc>
      </w:tr>
      <w:tr>
        <w:trPr>
          <w:trHeight w:val="200"/>
        </w:trPr>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548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(248)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300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1,266</w:t>
            </w:r>
          </w:p>
        </w:tc>
      </w:tr>
      <w:tr>
        <w:trPr>
          <w:trHeight w:val="309"/>
        </w:trPr>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(859)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(859)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(856)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(856)</w:t>
            </w:r>
          </w:p>
        </w:tc>
      </w:tr>
      <w:tr>
        <w:trPr>
          <w:trHeight w:val="309"/>
        </w:trPr>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(333)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(405)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(327)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(384)</w:t>
            </w:r>
          </w:p>
        </w:tc>
      </w:tr>
      <w:tr>
        <w:trPr>
          <w:trHeight w:val="303"/>
        </w:trPr>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(47)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84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37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(160)</w:t>
            </w:r>
          </w:p>
        </w:tc>
      </w:tr>
      <w:tr>
        <w:trPr>
          <w:trHeight w:val="198"/>
        </w:trPr>
        <w:tc>
          <w:tcPr>
            <w:tcW w:w="32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(218)</w:t>
            </w: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w:t>
            </w:r>
          </w:p>
        </w:tc>
        <w:tc>
          <w:tcPr>
            <w:tcW w:w="12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(251)</w:t>
            </w:r>
          </w:p>
        </w:tc>
        <w:tc>
          <w:tcPr>
            <w:tcW w:w="10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(203)</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(257)</w:t>
            </w:r>
          </w:p>
        </w:tc>
      </w:tr>
      <w:tr>
        <w:trPr>
          <w:trHeight w:val="182"/>
        </w:trPr>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4,838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766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5,604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5,547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732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6,279</w:t>
            </w:r>
          </w:p>
        </w:tc>
      </w:tr>
      <w:tr>
        <w:trPr>
          <w:trHeight w:val="198"/>
        </w:trPr>
        <w:tc>
          <w:tcPr>
            <w:tcW w:w="32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(983)</w:t>
            </w: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(137)</w:t>
            </w:r>
          </w:p>
        </w:tc>
        <w:tc>
          <w:tcPr>
            <w:tcW w:w="12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(1,120)</w:t>
            </w:r>
          </w:p>
        </w:tc>
        <w:tc>
          <w:tcPr>
            <w:tcW w:w="10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(1,153)</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(1,285)</w:t>
            </w:r>
          </w:p>
        </w:tc>
      </w:tr>
      <w:tr>
        <w:trPr>
          <w:trHeight w:val="186"/>
        </w:trPr>
        <w:tc>
          <w:tcPr>
            <w:tcW w:w="320" w:type="dxa"/>
            <w:vAlign w:val="bottom"/>
            <w:tcBorders>
              <w:bottom w:val="single" w:sz="8" w:color="2C6937"/>
            </w:tcBorders>
          </w:tcPr>
          <w:p>
            <w:pPr>
              <w:spacing w:after="0"/>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3,855</w:t>
            </w:r>
          </w:p>
        </w:tc>
        <w:tc>
          <w:tcPr>
            <w:tcW w:w="80" w:type="dxa"/>
            <w:vAlign w:val="bottom"/>
          </w:tcPr>
          <w:p>
            <w:pPr>
              <w:spacing w:after="0"/>
              <w:rPr>
                <w:sz w:val="16"/>
                <w:szCs w:val="16"/>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629</w:t>
            </w:r>
          </w:p>
        </w:tc>
        <w:tc>
          <w:tcPr>
            <w:tcW w:w="120" w:type="dxa"/>
            <w:vAlign w:val="bottom"/>
          </w:tcPr>
          <w:p>
            <w:pPr>
              <w:spacing w:after="0"/>
              <w:rPr>
                <w:sz w:val="16"/>
                <w:szCs w:val="16"/>
                <w:color w:val="auto"/>
              </w:rPr>
            </w:pPr>
          </w:p>
        </w:tc>
        <w:tc>
          <w:tcPr>
            <w:tcW w:w="18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4,484</w:t>
            </w:r>
          </w:p>
        </w:tc>
        <w:tc>
          <w:tcPr>
            <w:tcW w:w="100" w:type="dxa"/>
            <w:vAlign w:val="bottom"/>
          </w:tcPr>
          <w:p>
            <w:pPr>
              <w:spacing w:after="0"/>
              <w:rPr>
                <w:sz w:val="16"/>
                <w:szCs w:val="16"/>
                <w:color w:val="auto"/>
              </w:rPr>
            </w:pPr>
          </w:p>
        </w:tc>
        <w:tc>
          <w:tcPr>
            <w:tcW w:w="320" w:type="dxa"/>
            <w:vAlign w:val="bottom"/>
            <w:tcBorders>
              <w:bottom w:val="single" w:sz="8" w:color="2C6937"/>
            </w:tcBorders>
          </w:tcPr>
          <w:p>
            <w:pPr>
              <w:jc w:val="right"/>
              <w:ind w:right="147"/>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4,394</w:t>
            </w:r>
          </w:p>
        </w:tc>
        <w:tc>
          <w:tcPr>
            <w:tcW w:w="120" w:type="dxa"/>
            <w:vAlign w:val="bottom"/>
          </w:tcPr>
          <w:p>
            <w:pPr>
              <w:spacing w:after="0"/>
              <w:rPr>
                <w:sz w:val="16"/>
                <w:szCs w:val="16"/>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600</w:t>
            </w:r>
          </w:p>
        </w:tc>
        <w:tc>
          <w:tcPr>
            <w:tcW w:w="100" w:type="dxa"/>
            <w:vAlign w:val="bottom"/>
          </w:tcPr>
          <w:p>
            <w:pPr>
              <w:spacing w:after="0"/>
              <w:rPr>
                <w:sz w:val="16"/>
                <w:szCs w:val="16"/>
                <w:color w:val="auto"/>
              </w:rPr>
            </w:pPr>
          </w:p>
        </w:tc>
        <w:tc>
          <w:tcPr>
            <w:tcW w:w="200" w:type="dxa"/>
            <w:vAlign w:val="bottom"/>
            <w:tcBorders>
              <w:bottom w:val="single" w:sz="8" w:color="2C6937"/>
            </w:tcBorders>
          </w:tcPr>
          <w:p>
            <w:pPr>
              <w:jc w:val="right"/>
              <w:ind w:right="27"/>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4,994</w:t>
            </w:r>
          </w:p>
        </w:tc>
      </w:tr>
      <w:tr>
        <w:trPr>
          <w:trHeight w:val="20"/>
        </w:trPr>
        <w:tc>
          <w:tcPr>
            <w:tcW w:w="3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2C6937"/>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r>
        <w:trPr>
          <w:trHeight w:val="572"/>
        </w:trPr>
        <w:tc>
          <w:tcPr>
            <w:tcW w:w="32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3380" w:type="dxa"/>
            <w:vAlign w:val="bottom"/>
            <w:tcBorders>
              <w:bottom w:val="single" w:sz="8" w:color="2C6937"/>
            </w:tcBorders>
            <w:gridSpan w:val="9"/>
          </w:tcPr>
          <w:p>
            <w:pPr>
              <w:ind w:left="860"/>
              <w:spacing w:after="0"/>
              <w:rPr>
                <w:sz w:val="20"/>
                <w:szCs w:val="20"/>
                <w:color w:val="auto"/>
              </w:rPr>
            </w:pPr>
            <w:r>
              <w:rPr>
                <w:rFonts w:ascii="Arial" w:cs="Arial" w:eastAsia="Arial" w:hAnsi="Arial"/>
                <w:sz w:val="15"/>
                <w:szCs w:val="15"/>
                <w:b w:val="1"/>
                <w:bCs w:val="1"/>
                <w:color w:val="auto"/>
              </w:rPr>
              <w:t>For the Six Months Ended June 30,</w:t>
            </w:r>
          </w:p>
        </w:tc>
        <w:tc>
          <w:tcPr>
            <w:tcW w:w="98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spacing w:after="0"/>
              <w:rPr>
                <w:sz w:val="24"/>
                <w:szCs w:val="24"/>
                <w:color w:val="auto"/>
              </w:rPr>
            </w:pPr>
          </w:p>
        </w:tc>
      </w:tr>
      <w:tr>
        <w:trPr>
          <w:trHeight w:val="186"/>
        </w:trPr>
        <w:tc>
          <w:tcPr>
            <w:tcW w:w="32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67"/>
              <w:spacing w:after="0"/>
              <w:rPr>
                <w:sz w:val="20"/>
                <w:szCs w:val="20"/>
                <w:color w:val="auto"/>
              </w:rPr>
            </w:pPr>
            <w:r>
              <w:rPr>
                <w:rFonts w:ascii="Arial" w:cs="Arial" w:eastAsia="Arial" w:hAnsi="Arial"/>
                <w:sz w:val="15"/>
                <w:szCs w:val="15"/>
                <w:b w:val="1"/>
                <w:bCs w:val="1"/>
                <w:color w:val="auto"/>
              </w:rPr>
              <w:t>2024</w:t>
            </w:r>
          </w:p>
        </w:tc>
        <w:tc>
          <w:tcPr>
            <w:tcW w:w="12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87"/>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r>
      <w:tr>
        <w:trPr>
          <w:trHeight w:val="225"/>
        </w:trPr>
        <w:tc>
          <w:tcPr>
            <w:tcW w:w="1080" w:type="dxa"/>
            <w:vAlign w:val="bottom"/>
            <w:tcBorders>
              <w:bottom w:val="single" w:sz="8" w:color="2C6937"/>
            </w:tcBorders>
            <w:gridSpan w:val="3"/>
          </w:tcPr>
          <w:p>
            <w:pPr>
              <w:ind w:left="2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8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gridSpan w:val="2"/>
          </w:tcPr>
          <w:p>
            <w:pPr>
              <w:ind w:left="100"/>
              <w:spacing w:after="0"/>
              <w:rPr>
                <w:sz w:val="20"/>
                <w:szCs w:val="20"/>
                <w:color w:val="auto"/>
              </w:rPr>
            </w:pPr>
            <w:r>
              <w:rPr>
                <w:rFonts w:ascii="Arial" w:cs="Arial" w:eastAsia="Arial" w:hAnsi="Arial"/>
                <w:sz w:val="15"/>
                <w:szCs w:val="15"/>
                <w:b w:val="1"/>
                <w:bCs w:val="1"/>
                <w:color w:val="auto"/>
              </w:rPr>
              <w:t>Total</w:t>
            </w:r>
          </w:p>
        </w:tc>
        <w:tc>
          <w:tcPr>
            <w:tcW w:w="1140" w:type="dxa"/>
            <w:vAlign w:val="bottom"/>
            <w:tcBorders>
              <w:bottom w:val="single" w:sz="8" w:color="2C6937"/>
            </w:tcBorders>
            <w:gridSpan w:val="3"/>
          </w:tcPr>
          <w:p>
            <w:pPr>
              <w:ind w:left="4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20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ind w:right="227"/>
              <w:spacing w:after="0"/>
              <w:rPr>
                <w:sz w:val="20"/>
                <w:szCs w:val="20"/>
                <w:color w:val="auto"/>
              </w:rPr>
            </w:pPr>
            <w:r>
              <w:rPr>
                <w:rFonts w:ascii="Arial" w:cs="Arial" w:eastAsia="Arial" w:hAnsi="Arial"/>
                <w:sz w:val="15"/>
                <w:szCs w:val="15"/>
                <w:b w:val="1"/>
                <w:bCs w:val="1"/>
                <w:color w:val="auto"/>
              </w:rPr>
              <w:t>Total</w:t>
            </w:r>
          </w:p>
        </w:tc>
      </w:tr>
      <w:tr>
        <w:trPr>
          <w:trHeight w:val="193"/>
        </w:trPr>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ind w:left="120"/>
              <w:spacing w:after="0"/>
              <w:rPr>
                <w:sz w:val="20"/>
                <w:szCs w:val="20"/>
                <w:color w:val="auto"/>
              </w:rPr>
            </w:pPr>
            <w:r>
              <w:rPr>
                <w:rFonts w:ascii="Arial" w:cs="Arial" w:eastAsia="Arial" w:hAnsi="Arial"/>
                <w:sz w:val="15"/>
                <w:szCs w:val="15"/>
                <w:b w:val="1"/>
                <w:bCs w:val="1"/>
                <w:color w:val="auto"/>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79" w:lineRule="exact"/>
        <w:rPr>
          <w:sz w:val="20"/>
          <w:szCs w:val="20"/>
          <w:color w:val="auto"/>
        </w:rPr>
      </w:pPr>
    </w:p>
    <w:p>
      <w:pPr>
        <w:sectPr>
          <w:pgSz w:w="11900" w:h="16838" w:orient="portrait"/>
          <w:cols w:equalWidth="0" w:num="2">
            <w:col w:w="3920" w:space="720"/>
            <w:col w:w="6600"/>
          </w:cols>
          <w:pgMar w:left="320" w:top="248" w:right="339" w:bottom="1440" w:gutter="0" w:footer="0" w:header="0"/>
          <w:type w:val="continuous"/>
        </w:sectPr>
      </w:pPr>
    </w:p>
    <w:tbl>
      <w:tblPr>
        <w:tblLayout w:type="fixed"/>
        <w:tblInd w:w="20" w:type="dxa"/>
        <w:tblCellMar>
          <w:top w:w="0" w:type="dxa"/>
          <w:left w:w="0" w:type="dxa"/>
          <w:bottom w:w="0" w:type="dxa"/>
          <w:right w:w="0" w:type="dxa"/>
        </w:tblCellMar>
      </w:tblPr>
      <w:tr>
        <w:trPr>
          <w:trHeight w:val="253"/>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(1)</w:t>
            </w: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11,970</w:t>
            </w:r>
          </w:p>
        </w:tc>
        <w:tc>
          <w:tcPr>
            <w:tcW w:w="80" w:type="dxa"/>
            <w:vAlign w:val="bottom"/>
          </w:tcPr>
          <w:p>
            <w:pPr>
              <w:spacing w:after="0"/>
              <w:rPr>
                <w:sz w:val="22"/>
                <w:szCs w:val="22"/>
                <w:color w:val="auto"/>
              </w:rPr>
            </w:pPr>
          </w:p>
        </w:tc>
        <w:tc>
          <w:tcPr>
            <w:tcW w:w="400" w:type="dxa"/>
            <w:vAlign w:val="bottom"/>
          </w:tcPr>
          <w:p>
            <w:pPr>
              <w:jc w:val="right"/>
              <w:ind w:right="22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2,321</w:t>
            </w:r>
          </w:p>
        </w:tc>
        <w:tc>
          <w:tcPr>
            <w:tcW w:w="120" w:type="dxa"/>
            <w:vAlign w:val="bottom"/>
          </w:tcPr>
          <w:p>
            <w:pPr>
              <w:spacing w:after="0"/>
              <w:rPr>
                <w:sz w:val="22"/>
                <w:szCs w:val="22"/>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660" w:type="dxa"/>
            <w:vAlign w:val="bottom"/>
          </w:tcPr>
          <w:p>
            <w:pPr>
              <w:jc w:val="right"/>
              <w:ind w:right="7"/>
              <w:spacing w:after="0"/>
              <w:rPr>
                <w:sz w:val="20"/>
                <w:szCs w:val="20"/>
                <w:color w:val="auto"/>
              </w:rPr>
            </w:pPr>
            <w:r>
              <w:rPr>
                <w:rFonts w:ascii="Arial" w:cs="Arial" w:eastAsia="Arial" w:hAnsi="Arial"/>
                <w:sz w:val="15"/>
                <w:szCs w:val="15"/>
                <w:b w:val="1"/>
                <w:bCs w:val="1"/>
                <w:color w:val="auto"/>
              </w:rPr>
              <w:t>14,291</w:t>
            </w:r>
          </w:p>
        </w:tc>
        <w:tc>
          <w:tcPr>
            <w:tcW w:w="100" w:type="dxa"/>
            <w:vAlign w:val="bottom"/>
          </w:tcPr>
          <w:p>
            <w:pPr>
              <w:spacing w:after="0"/>
              <w:rPr>
                <w:sz w:val="22"/>
                <w:szCs w:val="22"/>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11,589</w:t>
            </w:r>
          </w:p>
        </w:tc>
        <w:tc>
          <w:tcPr>
            <w:tcW w:w="120" w:type="dxa"/>
            <w:vAlign w:val="bottom"/>
          </w:tcPr>
          <w:p>
            <w:pPr>
              <w:spacing w:after="0"/>
              <w:rPr>
                <w:sz w:val="22"/>
                <w:szCs w:val="22"/>
                <w:color w:val="auto"/>
              </w:rPr>
            </w:pP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2,232</w:t>
            </w:r>
          </w:p>
        </w:tc>
        <w:tc>
          <w:tcPr>
            <w:tcW w:w="100" w:type="dxa"/>
            <w:vAlign w:val="bottom"/>
          </w:tcPr>
          <w:p>
            <w:pPr>
              <w:spacing w:after="0"/>
              <w:rPr>
                <w:sz w:val="22"/>
                <w:szCs w:val="22"/>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13,821</w:t>
            </w:r>
          </w:p>
        </w:tc>
      </w:tr>
      <w:tr>
        <w:trPr>
          <w:trHeight w:val="280"/>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Fee and other income</w:t>
            </w:r>
            <w:r>
              <w:rPr>
                <w:rFonts w:ascii="Arial" w:cs="Arial" w:eastAsia="Arial" w:hAnsi="Arial"/>
                <w:sz w:val="18"/>
                <w:szCs w:val="18"/>
                <w:color w:val="auto"/>
                <w:vertAlign w:val="superscript"/>
              </w:rPr>
              <w:t>(2)</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106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Arial" w:cs="Arial" w:eastAsia="Arial" w:hAnsi="Arial"/>
                <w:sz w:val="15"/>
                <w:szCs w:val="15"/>
                <w:b w:val="1"/>
                <w:bCs w:val="1"/>
                <w:color w:val="auto"/>
              </w:rPr>
              <w:t>140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133</w:t>
            </w:r>
          </w:p>
        </w:tc>
      </w:tr>
      <w:tr>
        <w:trPr>
          <w:trHeight w:val="193"/>
        </w:trPr>
        <w:tc>
          <w:tcPr>
            <w:tcW w:w="4500" w:type="dxa"/>
            <w:vAlign w:val="bottom"/>
            <w:tcBorders>
              <w:top w:val="single" w:sz="8" w:color="2C6937"/>
            </w:tcBorders>
          </w:tcPr>
          <w:p>
            <w:pPr>
              <w:ind w:left="160"/>
              <w:spacing w:after="0"/>
              <w:rPr>
                <w:sz w:val="20"/>
                <w:szCs w:val="20"/>
                <w:color w:val="auto"/>
              </w:rPr>
            </w:pPr>
            <w:r>
              <w:rPr>
                <w:rFonts w:ascii="Arial" w:cs="Arial" w:eastAsia="Arial" w:hAnsi="Arial"/>
                <w:sz w:val="15"/>
                <w:szCs w:val="15"/>
                <w:color w:val="auto"/>
              </w:rPr>
              <w:t>Net revenues</w:t>
            </w:r>
          </w:p>
        </w:tc>
        <w:tc>
          <w:tcPr>
            <w:tcW w:w="120" w:type="dxa"/>
            <w:vAlign w:val="bottom"/>
          </w:tcPr>
          <w:p>
            <w:pPr>
              <w:spacing w:after="0"/>
              <w:rPr>
                <w:sz w:val="16"/>
                <w:szCs w:val="16"/>
                <w:color w:val="auto"/>
              </w:rPr>
            </w:pPr>
          </w:p>
        </w:tc>
        <w:tc>
          <w:tcPr>
            <w:tcW w:w="28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12,076</w:t>
            </w:r>
          </w:p>
        </w:tc>
        <w:tc>
          <w:tcPr>
            <w:tcW w:w="80" w:type="dxa"/>
            <w:vAlign w:val="bottom"/>
          </w:tcPr>
          <w:p>
            <w:pPr>
              <w:spacing w:after="0"/>
              <w:rPr>
                <w:sz w:val="16"/>
                <w:szCs w:val="16"/>
                <w:color w:val="auto"/>
              </w:rPr>
            </w:pPr>
          </w:p>
        </w:tc>
        <w:tc>
          <w:tcPr>
            <w:tcW w:w="40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2,355</w:t>
            </w:r>
          </w:p>
        </w:tc>
        <w:tc>
          <w:tcPr>
            <w:tcW w:w="120" w:type="dxa"/>
            <w:vAlign w:val="bottom"/>
          </w:tcPr>
          <w:p>
            <w:pPr>
              <w:spacing w:after="0"/>
              <w:rPr>
                <w:sz w:val="16"/>
                <w:szCs w:val="16"/>
                <w:color w:val="auto"/>
              </w:rPr>
            </w:pPr>
          </w:p>
        </w:tc>
        <w:tc>
          <w:tcPr>
            <w:tcW w:w="240" w:type="dxa"/>
            <w:vAlign w:val="bottom"/>
            <w:tcBorders>
              <w:top w:val="single" w:sz="8" w:color="2C6937"/>
            </w:tcBorders>
          </w:tcPr>
          <w:p>
            <w:pPr>
              <w:spacing w:after="0"/>
              <w:rPr>
                <w:sz w:val="16"/>
                <w:szCs w:val="16"/>
                <w:color w:val="auto"/>
              </w:rPr>
            </w:pPr>
          </w:p>
        </w:tc>
        <w:tc>
          <w:tcPr>
            <w:tcW w:w="66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14,431</w:t>
            </w:r>
          </w:p>
        </w:tc>
        <w:tc>
          <w:tcPr>
            <w:tcW w:w="100" w:type="dxa"/>
            <w:vAlign w:val="bottom"/>
          </w:tcPr>
          <w:p>
            <w:pPr>
              <w:spacing w:after="0"/>
              <w:rPr>
                <w:sz w:val="16"/>
                <w:szCs w:val="16"/>
                <w:color w:val="auto"/>
              </w:rPr>
            </w:pPr>
          </w:p>
        </w:tc>
        <w:tc>
          <w:tcPr>
            <w:tcW w:w="320" w:type="dxa"/>
            <w:vAlign w:val="bottom"/>
            <w:tcBorders>
              <w:top w:val="single" w:sz="8" w:color="2C6937"/>
            </w:tcBorders>
          </w:tcPr>
          <w:p>
            <w:pPr>
              <w:spacing w:after="0"/>
              <w:rPr>
                <w:sz w:val="16"/>
                <w:szCs w:val="16"/>
                <w:color w:val="auto"/>
              </w:rPr>
            </w:pPr>
          </w:p>
        </w:tc>
        <w:tc>
          <w:tcPr>
            <w:tcW w:w="70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11,689</w:t>
            </w:r>
          </w:p>
        </w:tc>
        <w:tc>
          <w:tcPr>
            <w:tcW w:w="120" w:type="dxa"/>
            <w:vAlign w:val="bottom"/>
          </w:tcPr>
          <w:p>
            <w:pPr>
              <w:spacing w:after="0"/>
              <w:rPr>
                <w:sz w:val="16"/>
                <w:szCs w:val="16"/>
                <w:color w:val="auto"/>
              </w:rPr>
            </w:pPr>
          </w:p>
        </w:tc>
        <w:tc>
          <w:tcPr>
            <w:tcW w:w="380" w:type="dxa"/>
            <w:vAlign w:val="bottom"/>
            <w:tcBorders>
              <w:top w:val="single" w:sz="8" w:color="2C6937"/>
            </w:tcBorders>
          </w:tcPr>
          <w:p>
            <w:pPr>
              <w:spacing w:after="0"/>
              <w:rPr>
                <w:sz w:val="16"/>
                <w:szCs w:val="16"/>
                <w:color w:val="auto"/>
              </w:rPr>
            </w:pPr>
          </w:p>
        </w:tc>
        <w:tc>
          <w:tcPr>
            <w:tcW w:w="74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2,265</w:t>
            </w:r>
          </w:p>
        </w:tc>
        <w:tc>
          <w:tcPr>
            <w:tcW w:w="100" w:type="dxa"/>
            <w:vAlign w:val="bottom"/>
          </w:tcPr>
          <w:p>
            <w:pPr>
              <w:spacing w:after="0"/>
              <w:rPr>
                <w:sz w:val="16"/>
                <w:szCs w:val="16"/>
                <w:color w:val="auto"/>
              </w:rPr>
            </w:pPr>
          </w:p>
        </w:tc>
        <w:tc>
          <w:tcPr>
            <w:tcW w:w="240" w:type="dxa"/>
            <w:vAlign w:val="bottom"/>
            <w:tcBorders>
              <w:top w:val="single" w:sz="8" w:color="2C6937"/>
            </w:tcBorders>
          </w:tcPr>
          <w:p>
            <w:pPr>
              <w:spacing w:after="0"/>
              <w:rPr>
                <w:sz w:val="16"/>
                <w:szCs w:val="16"/>
                <w:color w:val="auto"/>
              </w:rPr>
            </w:pPr>
          </w:p>
        </w:tc>
        <w:tc>
          <w:tcPr>
            <w:tcW w:w="6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13,954</w:t>
            </w:r>
          </w:p>
        </w:tc>
      </w:tr>
      <w:tr>
        <w:trPr>
          <w:trHeight w:val="332"/>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r>
              <w:rPr>
                <w:rFonts w:ascii="Arial" w:cs="Arial" w:eastAsia="Arial" w:hAnsi="Arial"/>
                <w:sz w:val="18"/>
                <w:szCs w:val="18"/>
                <w:color w:val="auto"/>
                <w:vertAlign w:val="superscript"/>
              </w:rPr>
              <w:t>(3)</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(57)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(40)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75"/>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r>
              <w:rPr>
                <w:rFonts w:ascii="Arial" w:cs="Arial" w:eastAsia="Arial" w:hAnsi="Arial"/>
                <w:sz w:val="18"/>
                <w:szCs w:val="18"/>
                <w:color w:val="auto"/>
                <w:vertAlign w:val="superscript"/>
              </w:rPr>
              <w:t>(4)</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938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7"/>
              <w:spacing w:after="0"/>
              <w:rPr>
                <w:sz w:val="20"/>
                <w:szCs w:val="20"/>
                <w:color w:val="auto"/>
              </w:rPr>
            </w:pPr>
            <w:r>
              <w:rPr>
                <w:rFonts w:ascii="Arial" w:cs="Arial" w:eastAsia="Arial" w:hAnsi="Arial"/>
                <w:sz w:val="15"/>
                <w:szCs w:val="15"/>
                <w:b w:val="1"/>
                <w:bCs w:val="1"/>
                <w:color w:val="auto"/>
              </w:rPr>
              <w:t>927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626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608</w:t>
            </w:r>
          </w:p>
        </w:tc>
      </w:tr>
      <w:tr>
        <w:trPr>
          <w:trHeight w:val="193"/>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(1,561)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(307)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(1,868)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(1,438)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(1,732)</w:t>
            </w:r>
          </w:p>
        </w:tc>
      </w:tr>
      <w:tr>
        <w:trPr>
          <w:trHeight w:val="253"/>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Benefit (provision) for credit losses</w:t>
            </w:r>
            <w:r>
              <w:rPr>
                <w:rFonts w:ascii="Arial" w:cs="Arial" w:eastAsia="Arial" w:hAnsi="Arial"/>
                <w:sz w:val="18"/>
                <w:szCs w:val="18"/>
                <w:color w:val="auto"/>
                <w:vertAlign w:val="superscript"/>
              </w:rPr>
              <w:t>(5)</w:t>
            </w: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883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7"/>
              <w:spacing w:after="0"/>
              <w:rPr>
                <w:sz w:val="20"/>
                <w:szCs w:val="20"/>
                <w:color w:val="auto"/>
              </w:rPr>
            </w:pPr>
            <w:r>
              <w:rPr>
                <w:rFonts w:ascii="Arial" w:cs="Arial" w:eastAsia="Arial" w:hAnsi="Arial"/>
                <w:sz w:val="15"/>
                <w:szCs w:val="15"/>
                <w:b w:val="1"/>
                <w:bCs w:val="1"/>
                <w:color w:val="auto"/>
              </w:rPr>
              <w:t>480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1,465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1,134</w:t>
            </w:r>
          </w:p>
        </w:tc>
      </w:tr>
      <w:tr>
        <w:trPr>
          <w:trHeight w:val="284"/>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TCCA fees</w:t>
            </w:r>
            <w:r>
              <w:rPr>
                <w:rFonts w:ascii="Arial" w:cs="Arial" w:eastAsia="Arial" w:hAnsi="Arial"/>
                <w:sz w:val="18"/>
                <w:szCs w:val="18"/>
                <w:color w:val="auto"/>
                <w:vertAlign w:val="superscript"/>
              </w:rPr>
              <w:t>(6)</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(1,719)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(1,719)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(1,711)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(1,711)</w:t>
            </w:r>
          </w:p>
        </w:tc>
      </w:tr>
      <w:tr>
        <w:trPr>
          <w:trHeight w:val="309"/>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(7)</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(686)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(138)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(824)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(614)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(725)</w:t>
            </w:r>
          </w:p>
        </w:tc>
      </w:tr>
      <w:tr>
        <w:trPr>
          <w:trHeight w:val="275"/>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18"/>
                <w:szCs w:val="18"/>
                <w:color w:val="auto"/>
                <w:vertAlign w:val="superscript"/>
              </w:rPr>
              <w:t>(8)</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(89)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189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7"/>
              <w:spacing w:after="0"/>
              <w:rPr>
                <w:sz w:val="20"/>
                <w:szCs w:val="20"/>
                <w:color w:val="auto"/>
              </w:rPr>
            </w:pPr>
            <w:r>
              <w:rPr>
                <w:rFonts w:ascii="Arial" w:cs="Arial" w:eastAsia="Arial" w:hAnsi="Arial"/>
                <w:sz w:val="15"/>
                <w:szCs w:val="15"/>
                <w:b w:val="1"/>
                <w:bCs w:val="1"/>
                <w:color w:val="auto"/>
              </w:rPr>
              <w:t>100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198"/>
        </w:trPr>
        <w:tc>
          <w:tcPr>
            <w:tcW w:w="4620" w:type="dxa"/>
            <w:vAlign w:val="bottom"/>
            <w:gridSpan w:val="2"/>
          </w:tcPr>
          <w:p>
            <w:pPr>
              <w:ind w:left="20"/>
              <w:spacing w:after="0" w:line="198" w:lineRule="exact"/>
              <w:rPr>
                <w:sz w:val="20"/>
                <w:szCs w:val="20"/>
                <w:color w:val="auto"/>
              </w:rPr>
            </w:pPr>
            <w:r>
              <w:rPr>
                <w:rFonts w:ascii="Arial" w:cs="Arial" w:eastAsia="Arial" w:hAnsi="Arial"/>
                <w:sz w:val="15"/>
                <w:szCs w:val="15"/>
                <w:color w:val="auto"/>
              </w:rPr>
              <w:t>Other expenses, net</w:t>
            </w:r>
            <w:r>
              <w:rPr>
                <w:rFonts w:ascii="Arial" w:cs="Arial" w:eastAsia="Arial" w:hAnsi="Arial"/>
                <w:sz w:val="18"/>
                <w:szCs w:val="18"/>
                <w:color w:val="auto"/>
                <w:vertAlign w:val="superscript"/>
              </w:rPr>
              <w:t>(9)</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(394)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(56)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(450)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(319)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(387)</w:t>
            </w:r>
          </w:p>
        </w:tc>
      </w:tr>
      <w:tr>
        <w:trPr>
          <w:trHeight w:val="182"/>
        </w:trPr>
        <w:tc>
          <w:tcPr>
            <w:tcW w:w="4500" w:type="dxa"/>
            <w:vAlign w:val="bottom"/>
            <w:tcBorders>
              <w:top w:val="single" w:sz="8" w:color="2C6937"/>
            </w:tcBorders>
          </w:tcPr>
          <w:p>
            <w:pPr>
              <w:ind w:left="20"/>
              <w:spacing w:after="0"/>
              <w:rPr>
                <w:sz w:val="20"/>
                <w:szCs w:val="20"/>
                <w:color w:val="auto"/>
              </w:rPr>
            </w:pPr>
            <w:r>
              <w:rPr>
                <w:rFonts w:ascii="Arial" w:cs="Arial" w:eastAsia="Arial" w:hAnsi="Arial"/>
                <w:sz w:val="15"/>
                <w:szCs w:val="15"/>
                <w:color w:val="auto"/>
              </w:rPr>
              <w:t>Income before federal income taxes</w:t>
            </w:r>
          </w:p>
        </w:tc>
        <w:tc>
          <w:tcPr>
            <w:tcW w:w="120" w:type="dxa"/>
            <w:vAlign w:val="bottom"/>
          </w:tcPr>
          <w:p>
            <w:pPr>
              <w:spacing w:after="0"/>
              <w:rPr>
                <w:sz w:val="15"/>
                <w:szCs w:val="15"/>
                <w:color w:val="auto"/>
              </w:rPr>
            </w:pPr>
          </w:p>
        </w:tc>
        <w:tc>
          <w:tcPr>
            <w:tcW w:w="280" w:type="dxa"/>
            <w:vAlign w:val="bottom"/>
            <w:tcBorders>
              <w:top w:val="single" w:sz="8" w:color="2C6937"/>
            </w:tcBorders>
          </w:tcPr>
          <w:p>
            <w:pPr>
              <w:spacing w:after="0"/>
              <w:rPr>
                <w:sz w:val="15"/>
                <w:szCs w:val="15"/>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9,391</w:t>
            </w:r>
          </w:p>
        </w:tc>
        <w:tc>
          <w:tcPr>
            <w:tcW w:w="80" w:type="dxa"/>
            <w:vAlign w:val="bottom"/>
          </w:tcPr>
          <w:p>
            <w:pPr>
              <w:spacing w:after="0"/>
              <w:rPr>
                <w:sz w:val="15"/>
                <w:szCs w:val="15"/>
                <w:color w:val="auto"/>
              </w:rPr>
            </w:pPr>
          </w:p>
        </w:tc>
        <w:tc>
          <w:tcPr>
            <w:tcW w:w="400" w:type="dxa"/>
            <w:vAlign w:val="bottom"/>
            <w:tcBorders>
              <w:top w:val="single" w:sz="8" w:color="2C6937"/>
            </w:tcBorders>
          </w:tcPr>
          <w:p>
            <w:pPr>
              <w:spacing w:after="0"/>
              <w:rPr>
                <w:sz w:val="15"/>
                <w:szCs w:val="15"/>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1,646</w:t>
            </w:r>
          </w:p>
        </w:tc>
        <w:tc>
          <w:tcPr>
            <w:tcW w:w="120" w:type="dxa"/>
            <w:vAlign w:val="bottom"/>
          </w:tcPr>
          <w:p>
            <w:pPr>
              <w:spacing w:after="0"/>
              <w:rPr>
                <w:sz w:val="15"/>
                <w:szCs w:val="15"/>
                <w:color w:val="auto"/>
              </w:rPr>
            </w:pPr>
          </w:p>
        </w:tc>
        <w:tc>
          <w:tcPr>
            <w:tcW w:w="240" w:type="dxa"/>
            <w:vAlign w:val="bottom"/>
            <w:tcBorders>
              <w:top w:val="single" w:sz="8" w:color="2C6937"/>
            </w:tcBorders>
          </w:tcPr>
          <w:p>
            <w:pPr>
              <w:spacing w:after="0"/>
              <w:rPr>
                <w:sz w:val="15"/>
                <w:szCs w:val="15"/>
                <w:color w:val="auto"/>
              </w:rPr>
            </w:pPr>
          </w:p>
        </w:tc>
        <w:tc>
          <w:tcPr>
            <w:tcW w:w="66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11,037</w:t>
            </w:r>
          </w:p>
        </w:tc>
        <w:tc>
          <w:tcPr>
            <w:tcW w:w="100" w:type="dxa"/>
            <w:vAlign w:val="bottom"/>
          </w:tcPr>
          <w:p>
            <w:pPr>
              <w:spacing w:after="0"/>
              <w:rPr>
                <w:sz w:val="15"/>
                <w:szCs w:val="15"/>
                <w:color w:val="auto"/>
              </w:rPr>
            </w:pPr>
          </w:p>
        </w:tc>
        <w:tc>
          <w:tcPr>
            <w:tcW w:w="320" w:type="dxa"/>
            <w:vAlign w:val="bottom"/>
            <w:tcBorders>
              <w:top w:val="single" w:sz="8" w:color="2C6937"/>
            </w:tcBorders>
          </w:tcPr>
          <w:p>
            <w:pPr>
              <w:spacing w:after="0"/>
              <w:rPr>
                <w:sz w:val="15"/>
                <w:szCs w:val="15"/>
                <w:color w:val="auto"/>
              </w:rPr>
            </w:pPr>
          </w:p>
        </w:tc>
        <w:tc>
          <w:tcPr>
            <w:tcW w:w="70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9,526</w:t>
            </w:r>
          </w:p>
        </w:tc>
        <w:tc>
          <w:tcPr>
            <w:tcW w:w="120" w:type="dxa"/>
            <w:vAlign w:val="bottom"/>
          </w:tcPr>
          <w:p>
            <w:pPr>
              <w:spacing w:after="0"/>
              <w:rPr>
                <w:sz w:val="15"/>
                <w:szCs w:val="15"/>
                <w:color w:val="auto"/>
              </w:rPr>
            </w:pPr>
          </w:p>
        </w:tc>
        <w:tc>
          <w:tcPr>
            <w:tcW w:w="380" w:type="dxa"/>
            <w:vAlign w:val="bottom"/>
            <w:tcBorders>
              <w:top w:val="single" w:sz="8" w:color="2C6937"/>
            </w:tcBorders>
          </w:tcPr>
          <w:p>
            <w:pPr>
              <w:spacing w:after="0"/>
              <w:rPr>
                <w:sz w:val="15"/>
                <w:szCs w:val="15"/>
                <w:color w:val="auto"/>
              </w:rPr>
            </w:pPr>
          </w:p>
        </w:tc>
        <w:tc>
          <w:tcPr>
            <w:tcW w:w="74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1,533</w:t>
            </w:r>
          </w:p>
        </w:tc>
        <w:tc>
          <w:tcPr>
            <w:tcW w:w="100" w:type="dxa"/>
            <w:vAlign w:val="bottom"/>
          </w:tcPr>
          <w:p>
            <w:pPr>
              <w:spacing w:after="0"/>
              <w:rPr>
                <w:sz w:val="15"/>
                <w:szCs w:val="15"/>
                <w:color w:val="auto"/>
              </w:rPr>
            </w:pPr>
          </w:p>
        </w:tc>
        <w:tc>
          <w:tcPr>
            <w:tcW w:w="240" w:type="dxa"/>
            <w:vAlign w:val="bottom"/>
            <w:tcBorders>
              <w:top w:val="single" w:sz="8" w:color="2C6937"/>
            </w:tcBorders>
          </w:tcPr>
          <w:p>
            <w:pPr>
              <w:spacing w:after="0"/>
              <w:rPr>
                <w:sz w:val="15"/>
                <w:szCs w:val="15"/>
                <w:color w:val="auto"/>
              </w:rPr>
            </w:pPr>
          </w:p>
        </w:tc>
        <w:tc>
          <w:tcPr>
            <w:tcW w:w="6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11,059</w:t>
            </w:r>
          </w:p>
        </w:tc>
      </w:tr>
      <w:tr>
        <w:trPr>
          <w:trHeight w:val="198"/>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Provision for federal income taxes</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(1,929)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(2,233)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(2,293)</w:t>
            </w:r>
          </w:p>
        </w:tc>
      </w:tr>
      <w:tr>
        <w:trPr>
          <w:trHeight w:val="186"/>
        </w:trPr>
        <w:tc>
          <w:tcPr>
            <w:tcW w:w="4500" w:type="dxa"/>
            <w:vAlign w:val="bottom"/>
            <w:tcBorders>
              <w:top w:val="single" w:sz="8" w:color="2C6937"/>
              <w:bottom w:val="single" w:sz="8" w:color="2C6937"/>
            </w:tcBorders>
          </w:tcPr>
          <w:p>
            <w:pPr>
              <w:ind w:left="16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6"/>
                <w:szCs w:val="16"/>
                <w:color w:val="auto"/>
              </w:rPr>
            </w:pPr>
          </w:p>
        </w:tc>
        <w:tc>
          <w:tcPr>
            <w:tcW w:w="280" w:type="dxa"/>
            <w:vAlign w:val="bottom"/>
            <w:tcBorders>
              <w:top w:val="single" w:sz="8" w:color="2C6937"/>
              <w:bottom w:val="single" w:sz="8" w:color="2C6937"/>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7,462</w:t>
            </w:r>
          </w:p>
        </w:tc>
        <w:tc>
          <w:tcPr>
            <w:tcW w:w="80" w:type="dxa"/>
            <w:vAlign w:val="bottom"/>
          </w:tcPr>
          <w:p>
            <w:pPr>
              <w:spacing w:after="0"/>
              <w:rPr>
                <w:sz w:val="16"/>
                <w:szCs w:val="16"/>
                <w:color w:val="auto"/>
              </w:rPr>
            </w:pPr>
          </w:p>
        </w:tc>
        <w:tc>
          <w:tcPr>
            <w:tcW w:w="400" w:type="dxa"/>
            <w:vAlign w:val="bottom"/>
            <w:tcBorders>
              <w:top w:val="single" w:sz="8" w:color="2C6937"/>
              <w:bottom w:val="single" w:sz="8" w:color="2C6937"/>
            </w:tcBorders>
          </w:tcPr>
          <w:p>
            <w:pPr>
              <w:jc w:val="right"/>
              <w:ind w:right="22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1,342</w:t>
            </w:r>
          </w:p>
        </w:tc>
        <w:tc>
          <w:tcPr>
            <w:tcW w:w="120" w:type="dxa"/>
            <w:vAlign w:val="bottom"/>
          </w:tcPr>
          <w:p>
            <w:pPr>
              <w:spacing w:after="0"/>
              <w:rPr>
                <w:sz w:val="16"/>
                <w:szCs w:val="16"/>
                <w:color w:val="auto"/>
              </w:rPr>
            </w:pPr>
          </w:p>
        </w:tc>
        <w:tc>
          <w:tcPr>
            <w:tcW w:w="240" w:type="dxa"/>
            <w:vAlign w:val="bottom"/>
            <w:tcBorders>
              <w:top w:val="single" w:sz="8" w:color="2C6937"/>
              <w:bottom w:val="single" w:sz="8" w:color="2C6937"/>
            </w:tcBorders>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66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8,804</w:t>
            </w:r>
          </w:p>
        </w:tc>
        <w:tc>
          <w:tcPr>
            <w:tcW w:w="100" w:type="dxa"/>
            <w:vAlign w:val="bottom"/>
          </w:tcPr>
          <w:p>
            <w:pPr>
              <w:spacing w:after="0"/>
              <w:rPr>
                <w:sz w:val="16"/>
                <w:szCs w:val="16"/>
                <w:color w:val="auto"/>
              </w:rPr>
            </w:pPr>
          </w:p>
        </w:tc>
        <w:tc>
          <w:tcPr>
            <w:tcW w:w="320" w:type="dxa"/>
            <w:vAlign w:val="bottom"/>
            <w:tcBorders>
              <w:top w:val="single" w:sz="8" w:color="2C6937"/>
              <w:bottom w:val="single" w:sz="8" w:color="2C6937"/>
            </w:tcBorders>
          </w:tcPr>
          <w:p>
            <w:pPr>
              <w:jc w:val="right"/>
              <w:ind w:right="147"/>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7,526</w:t>
            </w:r>
          </w:p>
        </w:tc>
        <w:tc>
          <w:tcPr>
            <w:tcW w:w="120" w:type="dxa"/>
            <w:vAlign w:val="bottom"/>
          </w:tcPr>
          <w:p>
            <w:pPr>
              <w:spacing w:after="0"/>
              <w:rPr>
                <w:sz w:val="16"/>
                <w:szCs w:val="16"/>
                <w:color w:val="auto"/>
              </w:rPr>
            </w:pPr>
          </w:p>
        </w:tc>
        <w:tc>
          <w:tcPr>
            <w:tcW w:w="380" w:type="dxa"/>
            <w:vAlign w:val="bottom"/>
            <w:tcBorders>
              <w:top w:val="single" w:sz="8" w:color="2C6937"/>
              <w:bottom w:val="single" w:sz="8" w:color="2C6937"/>
            </w:tcBorders>
          </w:tcPr>
          <w:p>
            <w:pPr>
              <w:jc w:val="right"/>
              <w:ind w:right="207"/>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1,240</w:t>
            </w:r>
          </w:p>
        </w:tc>
        <w:tc>
          <w:tcPr>
            <w:tcW w:w="100" w:type="dxa"/>
            <w:vAlign w:val="bottom"/>
          </w:tcPr>
          <w:p>
            <w:pPr>
              <w:spacing w:after="0"/>
              <w:rPr>
                <w:sz w:val="16"/>
                <w:szCs w:val="16"/>
                <w:color w:val="auto"/>
              </w:rPr>
            </w:pPr>
          </w:p>
        </w:tc>
        <w:tc>
          <w:tcPr>
            <w:tcW w:w="240" w:type="dxa"/>
            <w:vAlign w:val="bottom"/>
            <w:tcBorders>
              <w:top w:val="single" w:sz="8" w:color="2C6937"/>
              <w:bottom w:val="single" w:sz="8" w:color="2C6937"/>
            </w:tcBorders>
          </w:tcPr>
          <w:p>
            <w:pPr>
              <w:jc w:val="right"/>
              <w:ind w:right="67"/>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8,766</w:t>
            </w:r>
          </w:p>
        </w:tc>
      </w:tr>
      <w:tr>
        <w:trPr>
          <w:trHeight w:val="20"/>
        </w:trPr>
        <w:tc>
          <w:tcPr>
            <w:tcW w:w="450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20" w:hanging="237"/>
        <w:spacing w:after="0" w:line="236" w:lineRule="auto"/>
        <w:tabs>
          <w:tab w:leader="none" w:pos="233"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Net interest income primarily consists of guaranty fees received as compensation for assuming the credit risk on loans underlying Fannie Mae MBS held by third parties for the respective business segment, and the difference between the interest income earned on the respective business segment’s assets in our retained mortgage portfolio and our corporate liquidity portfolio and the interest expense associated with the debt funding those assets. Revenues from single-family guaranty fees include revenues generated by the 10 basis point increase in guaranty fees pursuant to the TCCA, the incremental revenue from which is paid to Treasury and not retained by us. Also includes yield maintenance revenue we recognized on the prepayment of multifamily loans.</w:t>
      </w:r>
    </w:p>
    <w:p>
      <w:pPr>
        <w:spacing w:after="0" w:line="26" w:lineRule="exact"/>
        <w:rPr>
          <w:rFonts w:ascii="Arial" w:cs="Arial" w:eastAsia="Arial" w:hAnsi="Arial"/>
          <w:sz w:val="18"/>
          <w:szCs w:val="18"/>
          <w:color w:val="auto"/>
          <w:vertAlign w:val="superscript"/>
        </w:rPr>
      </w:pPr>
    </w:p>
    <w:p>
      <w:pPr>
        <w:ind w:left="240" w:right="160" w:hanging="237"/>
        <w:spacing w:after="0" w:line="226" w:lineRule="auto"/>
        <w:tabs>
          <w:tab w:leader="none" w:pos="233"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Single-family fee and other income primarily consists of compensation for engaging in structured transactions and providing other lender services. Multifamily fee and other income consists of fees associated with certain Multifamily business activities, such as credit enhancements for tax-exempt multifamily housing revenue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98" w:name="page99"/>
    <w:bookmarkEnd w:id="98"/>
    <w:p>
      <w:pPr>
        <w:ind w:left="6420"/>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hanging="237"/>
        <w:spacing w:after="0" w:line="226" w:lineRule="auto"/>
        <w:tabs>
          <w:tab w:leader="none" w:pos="233"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Single-family investment gains and losses primarily consist of gains and losses on the sale of mortgage assets. Multifamily investment gains and losses primarily consist of gains and losses on resecuritization activity.</w:t>
      </w:r>
    </w:p>
    <w:p>
      <w:pPr>
        <w:spacing w:after="0" w:line="27" w:lineRule="exact"/>
        <w:rPr>
          <w:rFonts w:ascii="Arial" w:cs="Arial" w:eastAsia="Arial" w:hAnsi="Arial"/>
          <w:sz w:val="18"/>
          <w:szCs w:val="18"/>
          <w:color w:val="auto"/>
          <w:vertAlign w:val="superscript"/>
        </w:rPr>
      </w:pPr>
    </w:p>
    <w:p>
      <w:pPr>
        <w:ind w:left="240" w:right="200" w:hanging="237"/>
        <w:spacing w:after="0" w:line="228" w:lineRule="auto"/>
        <w:tabs>
          <w:tab w:leader="none" w:pos="233"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Single-family fair value gains and losses primarily consist of fair value gains and losses on risk management and mortgage commitment derivatives, trading securities, fair value option debt, and other financial instruments associated with our single-family guaranty book of business. Multifamily fair value gains and losses primarily consist of fair value gains and losses on MBS commitment derivatives, trading securities and other financial instruments associated with our multifamily guaranty book of business.</w:t>
      </w:r>
    </w:p>
    <w:p>
      <w:pPr>
        <w:ind w:left="220" w:hanging="217"/>
        <w:spacing w:after="0"/>
        <w:tabs>
          <w:tab w:leader="none" w:pos="220"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Benefit (provision) for credit losses is based on loans underlying the segment’s guaranty book of business.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Consists of the portion of our single-family guaranty fees that is paid to Treasury pursuant to the TCCA.</w:t>
      </w:r>
    </w:p>
    <w:p>
      <w:pPr>
        <w:spacing w:after="0" w:line="38" w:lineRule="exact"/>
        <w:rPr>
          <w:rFonts w:ascii="Arial" w:cs="Arial" w:eastAsia="Arial" w:hAnsi="Arial"/>
          <w:sz w:val="18"/>
          <w:szCs w:val="18"/>
          <w:color w:val="auto"/>
          <w:vertAlign w:val="superscript"/>
        </w:rPr>
      </w:pPr>
    </w:p>
    <w:p>
      <w:pPr>
        <w:ind w:left="240" w:right="80" w:hanging="237"/>
        <w:spacing w:after="0" w:line="218" w:lineRule="auto"/>
        <w:tabs>
          <w:tab w:leader="none" w:pos="233"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Single-family credit enhancement expense consists of costs associated with our freestanding credit enhancements, which include primarily costs associated with our Credit Insurance Risk Transfer</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(“CIRT</w:t>
      </w:r>
      <w:r>
        <w:rPr>
          <w:rFonts w:ascii="Arial" w:cs="Arial" w:eastAsia="Arial" w:hAnsi="Arial"/>
          <w:sz w:val="17"/>
          <w:szCs w:val="17"/>
          <w:color w:val="auto"/>
          <w:vertAlign w:val="superscript"/>
        </w:rPr>
        <w:t>TM</w:t>
      </w:r>
      <w:r>
        <w:rPr>
          <w:rFonts w:ascii="Arial" w:cs="Arial" w:eastAsia="Arial" w:hAnsi="Arial"/>
          <w:sz w:val="14"/>
          <w:szCs w:val="14"/>
          <w:color w:val="auto"/>
        </w:rPr>
        <w:t>”),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(“CAS”) and enterprise-paid mortgage insurance programs. Multifamily credit enhancement expense primarily consists of costs associated with our Multifamily CIRT</w:t>
      </w:r>
      <w:r>
        <w:rPr>
          <w:rFonts w:ascii="Arial" w:cs="Arial" w:eastAsia="Arial" w:hAnsi="Arial"/>
          <w:sz w:val="8"/>
          <w:szCs w:val="8"/>
          <w:color w:val="auto"/>
        </w:rPr>
        <w:t>TM</w:t>
      </w:r>
      <w:r>
        <w:rPr>
          <w:rFonts w:ascii="Arial" w:cs="Arial" w:eastAsia="Arial" w:hAnsi="Arial"/>
          <w:sz w:val="14"/>
          <w:szCs w:val="14"/>
          <w:color w:val="auto"/>
        </w:rPr>
        <w:t xml:space="preserve"> (“MCIRT</w:t>
      </w:r>
      <w:r>
        <w:rPr>
          <w:rFonts w:ascii="Arial" w:cs="Arial" w:eastAsia="Arial" w:hAnsi="Arial"/>
          <w:sz w:val="8"/>
          <w:szCs w:val="8"/>
          <w:color w:val="auto"/>
        </w:rPr>
        <w:t>TM</w:t>
      </w:r>
      <w:r>
        <w:rPr>
          <w:rFonts w:ascii="Arial" w:cs="Arial" w:eastAsia="Arial" w:hAnsi="Arial"/>
          <w:sz w:val="14"/>
          <w:szCs w:val="14"/>
          <w:color w:val="auto"/>
        </w:rPr>
        <w:t>”) and Multifamily CAS (“MCAS</w:t>
      </w:r>
      <w:r>
        <w:rPr>
          <w:rFonts w:ascii="Arial" w:cs="Arial" w:eastAsia="Arial" w:hAnsi="Arial"/>
          <w:sz w:val="8"/>
          <w:szCs w:val="8"/>
          <w:color w:val="auto"/>
        </w:rPr>
        <w:t>TM</w:t>
      </w:r>
      <w:r>
        <w:rPr>
          <w:rFonts w:ascii="Arial" w:cs="Arial" w:eastAsia="Arial" w:hAnsi="Arial"/>
          <w:sz w:val="14"/>
          <w:szCs w:val="14"/>
          <w:color w:val="auto"/>
        </w:rPr>
        <w:t>”) programs as well as amortization expense for certain lender risk-sharing programs. Excludes CAS transactions accounted for as debt instruments and credit risk transfer programs accounted for as derivative instruments.</w:t>
      </w:r>
    </w:p>
    <w:p>
      <w:pPr>
        <w:spacing w:after="0" w:line="26" w:lineRule="exact"/>
        <w:rPr>
          <w:rFonts w:ascii="Arial" w:cs="Arial" w:eastAsia="Arial" w:hAnsi="Arial"/>
          <w:sz w:val="18"/>
          <w:szCs w:val="18"/>
          <w:color w:val="auto"/>
          <w:vertAlign w:val="superscript"/>
        </w:rPr>
      </w:pPr>
    </w:p>
    <w:p>
      <w:pPr>
        <w:ind w:left="240" w:right="840" w:hanging="237"/>
        <w:spacing w:after="0" w:line="230" w:lineRule="auto"/>
        <w:tabs>
          <w:tab w:leader="none" w:pos="233"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Consists of change in benefits recognized from our freestanding credit enhancements, primarily from our CAS and CIRT programs as well as certain lender risk-sharing arrangements, including our multifamily Delegated Underwriting and Servicing (“DUS</w:t>
      </w:r>
      <w:r>
        <w:rPr>
          <w:rFonts w:ascii="Arial" w:cs="Arial" w:eastAsia="Arial" w:hAnsi="Arial"/>
          <w:sz w:val="17"/>
          <w:szCs w:val="17"/>
          <w:color w:val="auto"/>
          <w:vertAlign w:val="superscript"/>
        </w:rPr>
        <w:t>®</w:t>
      </w:r>
      <w:r>
        <w:rPr>
          <w:rFonts w:ascii="Arial" w:cs="Arial" w:eastAsia="Arial" w:hAnsi="Arial"/>
          <w:sz w:val="14"/>
          <w:szCs w:val="14"/>
          <w:color w:val="auto"/>
        </w:rPr>
        <w:t>”) program.</w:t>
      </w:r>
    </w:p>
    <w:p>
      <w:pPr>
        <w:ind w:left="240" w:right="440" w:hanging="237"/>
        <w:spacing w:after="0" w:line="210" w:lineRule="auto"/>
        <w:tabs>
          <w:tab w:leader="none" w:pos="233"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Includes debt extinguishment gains and losses, expenses associated with legal claims, foreclosed property income (expense), gains and losses from partnership investments, housing trust fund expenses, loan subservicing costs, and servicer fees paid in connection with certain loss mitigation activities.</w:t>
      </w:r>
    </w:p>
    <w:p>
      <w:pPr>
        <w:spacing w:after="0" w:line="148"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11. Concentrations of Credit Risk</w:t>
      </w:r>
    </w:p>
    <w:p>
      <w:pPr>
        <w:spacing w:after="0" w:line="12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Risk Characteristics of our Guaranty Book of Business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One of the measures by which management gauges our credit risk is the delinquency status of the mortgage loans in our guaranty book of business.</w:t>
      </w:r>
    </w:p>
    <w:p>
      <w:pPr>
        <w:spacing w:after="0" w:line="100"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For single-family and multifamily loans, management uses this information, in conjunction with housing market data, other economic data, our capital requirements and our mission objectives, to help inform changes to our pricing and our eligibility and underwriting criteria. Management also uses this data together with other credit risk measures to identify key trends that guide the development of our loss mitigation strategies.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report the delinquency status of our single-family and multifamily guaranty book of business below.</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Single-Family Credit Risk Characteristics</w:t>
      </w:r>
    </w:p>
    <w:p>
      <w:pPr>
        <w:spacing w:after="0" w:line="7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single-family loans, management monitors the serious delinquency rate, which is the percentage of single-family loans, based on number of loans, that are 90 days or more past due or in the foreclosure process, and loans that have higher risk characteristics, such as high mark-to-market LTV ratios.</w:t>
      </w:r>
    </w:p>
    <w:p>
      <w:pPr>
        <w:spacing w:after="0" w:line="1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single-family conventional guaranty book of business.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hanging="154"/>
        <w:spacing w:after="0" w:line="295" w:lineRule="auto"/>
        <w:rPr>
          <w:sz w:val="20"/>
          <w:szCs w:val="20"/>
          <w:color w:val="auto"/>
        </w:rPr>
      </w:pPr>
      <w:r>
        <w:rPr>
          <w:rFonts w:ascii="Arial" w:cs="Arial" w:eastAsia="Arial" w:hAnsi="Arial"/>
          <w:sz w:val="15"/>
          <w:szCs w:val="15"/>
          <w:color w:val="auto"/>
        </w:rPr>
        <w:t>Percentage of single-family conventional guaranty book of business based on UPB</w:t>
      </w:r>
    </w:p>
    <w:p>
      <w:pPr>
        <w:spacing w:after="0" w:line="1" w:lineRule="exact"/>
        <w:rPr>
          <w:sz w:val="20"/>
          <w:szCs w:val="20"/>
          <w:color w:val="auto"/>
        </w:rPr>
      </w:pPr>
    </w:p>
    <w:p>
      <w:pPr>
        <w:ind w:left="180" w:right="220" w:hanging="154"/>
        <w:spacing w:after="0" w:line="312" w:lineRule="auto"/>
        <w:rPr>
          <w:sz w:val="20"/>
          <w:szCs w:val="20"/>
          <w:color w:val="auto"/>
        </w:rPr>
      </w:pPr>
      <w:r>
        <w:rPr>
          <w:rFonts w:ascii="Arial" w:cs="Arial" w:eastAsia="Arial" w:hAnsi="Arial"/>
          <w:sz w:val="15"/>
          <w:szCs w:val="15"/>
          <w:color w:val="auto"/>
        </w:rPr>
        <w:t>Percentage of single-family conventional loans based on loan count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487108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87108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ind w:left="200"/>
              <w:spacing w:after="0"/>
              <w:rPr>
                <w:sz w:val="20"/>
                <w:szCs w:val="20"/>
                <w:color w:val="auto"/>
              </w:rPr>
            </w:pPr>
            <w:r>
              <w:rPr>
                <w:rFonts w:ascii="Arial" w:cs="Arial" w:eastAsia="Arial" w:hAnsi="Arial"/>
                <w:sz w:val="14"/>
                <w:szCs w:val="14"/>
                <w:b w:val="1"/>
                <w:bCs w:val="1"/>
                <w:color w:val="auto"/>
              </w:rPr>
              <w:t>June 30, 2024</w:t>
            </w:r>
          </w:p>
        </w:tc>
        <w:tc>
          <w:tcPr>
            <w:tcW w:w="12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w w:val="96"/>
              </w:rPr>
              <w:t>December 31, 2023</w:t>
            </w:r>
          </w:p>
        </w:tc>
        <w:tc>
          <w:tcPr>
            <w:tcW w:w="1280" w:type="dxa"/>
            <w:vAlign w:val="bottom"/>
            <w:tcBorders>
              <w:bottom w:val="single" w:sz="8" w:color="2C6937"/>
            </w:tcBorders>
          </w:tcPr>
          <w:p>
            <w:pPr>
              <w:spacing w:after="0"/>
              <w:rPr>
                <w:sz w:val="17"/>
                <w:szCs w:val="17"/>
                <w:color w:val="auto"/>
              </w:rPr>
            </w:pPr>
          </w:p>
        </w:tc>
      </w:tr>
      <w:tr>
        <w:trPr>
          <w:trHeight w:val="182"/>
        </w:trPr>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30 Days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60 Days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Seriously</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30 Days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60 Days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Seriously</w:t>
            </w:r>
          </w:p>
        </w:tc>
      </w:tr>
      <w:tr>
        <w:trPr>
          <w:trHeight w:val="205"/>
        </w:trPr>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Delinquent</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Delinquent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(1)</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Delinquent</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Delinquent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(1)</w:t>
            </w:r>
          </w:p>
        </w:tc>
      </w:tr>
      <w:tr>
        <w:trPr>
          <w:trHeight w:val="412"/>
        </w:trPr>
        <w:tc>
          <w:tcPr>
            <w:tcW w:w="1140" w:type="dxa"/>
            <w:vAlign w:val="bottom"/>
            <w:tcBorders>
              <w:top w:val="single" w:sz="8" w:color="2C6937"/>
            </w:tcBorders>
          </w:tcPr>
          <w:p>
            <w:pPr>
              <w:ind w:left="640"/>
              <w:spacing w:after="0"/>
              <w:rPr>
                <w:sz w:val="20"/>
                <w:szCs w:val="20"/>
                <w:color w:val="auto"/>
              </w:rPr>
            </w:pPr>
            <w:r>
              <w:rPr>
                <w:rFonts w:ascii="Arial" w:cs="Arial" w:eastAsia="Arial" w:hAnsi="Arial"/>
                <w:sz w:val="15"/>
                <w:szCs w:val="15"/>
                <w:b w:val="1"/>
                <w:bCs w:val="1"/>
                <w:color w:val="auto"/>
              </w:rPr>
              <w:t>0.99 %</w:t>
            </w:r>
          </w:p>
        </w:tc>
        <w:tc>
          <w:tcPr>
            <w:tcW w:w="100" w:type="dxa"/>
            <w:vAlign w:val="bottom"/>
          </w:tcPr>
          <w:p>
            <w:pPr>
              <w:spacing w:after="0"/>
              <w:rPr>
                <w:sz w:val="24"/>
                <w:szCs w:val="24"/>
                <w:color w:val="auto"/>
              </w:rPr>
            </w:pPr>
          </w:p>
        </w:tc>
        <w:tc>
          <w:tcPr>
            <w:tcW w:w="1160" w:type="dxa"/>
            <w:vAlign w:val="bottom"/>
            <w:tcBorders>
              <w:top w:val="single" w:sz="8" w:color="2C6937"/>
            </w:tcBorders>
          </w:tcPr>
          <w:p>
            <w:pPr>
              <w:ind w:left="660"/>
              <w:spacing w:after="0"/>
              <w:rPr>
                <w:sz w:val="20"/>
                <w:szCs w:val="20"/>
                <w:color w:val="auto"/>
              </w:rPr>
            </w:pPr>
            <w:r>
              <w:rPr>
                <w:rFonts w:ascii="Arial" w:cs="Arial" w:eastAsia="Arial" w:hAnsi="Arial"/>
                <w:sz w:val="15"/>
                <w:szCs w:val="15"/>
                <w:b w:val="1"/>
                <w:bCs w:val="1"/>
                <w:color w:val="auto"/>
              </w:rPr>
              <w:t>0.23 %</w:t>
            </w:r>
          </w:p>
        </w:tc>
        <w:tc>
          <w:tcPr>
            <w:tcW w:w="100" w:type="dxa"/>
            <w:vAlign w:val="bottom"/>
          </w:tcPr>
          <w:p>
            <w:pPr>
              <w:spacing w:after="0"/>
              <w:rPr>
                <w:sz w:val="24"/>
                <w:szCs w:val="24"/>
                <w:color w:val="auto"/>
              </w:rPr>
            </w:pPr>
          </w:p>
        </w:tc>
        <w:tc>
          <w:tcPr>
            <w:tcW w:w="1260" w:type="dxa"/>
            <w:vAlign w:val="bottom"/>
            <w:tcBorders>
              <w:top w:val="single" w:sz="8" w:color="2C6937"/>
            </w:tcBorders>
          </w:tcPr>
          <w:p>
            <w:pPr>
              <w:ind w:left="760"/>
              <w:spacing w:after="0"/>
              <w:rPr>
                <w:sz w:val="20"/>
                <w:szCs w:val="20"/>
                <w:color w:val="auto"/>
              </w:rPr>
            </w:pPr>
            <w:r>
              <w:rPr>
                <w:rFonts w:ascii="Arial" w:cs="Arial" w:eastAsia="Arial" w:hAnsi="Arial"/>
                <w:sz w:val="15"/>
                <w:szCs w:val="15"/>
                <w:b w:val="1"/>
                <w:bCs w:val="1"/>
                <w:color w:val="auto"/>
              </w:rPr>
              <w:t>0.50 %</w:t>
            </w:r>
          </w:p>
        </w:tc>
        <w:tc>
          <w:tcPr>
            <w:tcW w:w="100" w:type="dxa"/>
            <w:vAlign w:val="bottom"/>
          </w:tcPr>
          <w:p>
            <w:pPr>
              <w:spacing w:after="0"/>
              <w:rPr>
                <w:sz w:val="24"/>
                <w:szCs w:val="24"/>
                <w:color w:val="auto"/>
              </w:rPr>
            </w:pPr>
          </w:p>
        </w:tc>
        <w:tc>
          <w:tcPr>
            <w:tcW w:w="1160" w:type="dxa"/>
            <w:vAlign w:val="bottom"/>
            <w:tcBorders>
              <w:top w:val="single" w:sz="8" w:color="2C6937"/>
            </w:tcBorders>
          </w:tcPr>
          <w:p>
            <w:pPr>
              <w:ind w:left="660"/>
              <w:spacing w:after="0"/>
              <w:rPr>
                <w:sz w:val="20"/>
                <w:szCs w:val="20"/>
                <w:color w:val="auto"/>
              </w:rPr>
            </w:pPr>
            <w:r>
              <w:rPr>
                <w:rFonts w:ascii="Arial" w:cs="Arial" w:eastAsia="Arial" w:hAnsi="Arial"/>
                <w:sz w:val="15"/>
                <w:szCs w:val="15"/>
                <w:color w:val="auto"/>
              </w:rPr>
              <w:t>0.98 %</w:t>
            </w:r>
          </w:p>
        </w:tc>
        <w:tc>
          <w:tcPr>
            <w:tcW w:w="100" w:type="dxa"/>
            <w:vAlign w:val="bottom"/>
          </w:tcPr>
          <w:p>
            <w:pPr>
              <w:spacing w:after="0"/>
              <w:rPr>
                <w:sz w:val="24"/>
                <w:szCs w:val="24"/>
                <w:color w:val="auto"/>
              </w:rPr>
            </w:pPr>
          </w:p>
        </w:tc>
        <w:tc>
          <w:tcPr>
            <w:tcW w:w="1160" w:type="dxa"/>
            <w:vAlign w:val="bottom"/>
            <w:tcBorders>
              <w:top w:val="single" w:sz="8" w:color="2C6937"/>
            </w:tcBorders>
          </w:tcPr>
          <w:p>
            <w:pPr>
              <w:ind w:left="660"/>
              <w:spacing w:after="0"/>
              <w:rPr>
                <w:sz w:val="20"/>
                <w:szCs w:val="20"/>
                <w:color w:val="auto"/>
              </w:rPr>
            </w:pPr>
            <w:r>
              <w:rPr>
                <w:rFonts w:ascii="Arial" w:cs="Arial" w:eastAsia="Arial" w:hAnsi="Arial"/>
                <w:sz w:val="15"/>
                <w:szCs w:val="15"/>
                <w:color w:val="auto"/>
              </w:rPr>
              <w:t>0.24 %</w:t>
            </w:r>
          </w:p>
        </w:tc>
        <w:tc>
          <w:tcPr>
            <w:tcW w:w="100" w:type="dxa"/>
            <w:vAlign w:val="bottom"/>
          </w:tcPr>
          <w:p>
            <w:pPr>
              <w:spacing w:after="0"/>
              <w:rPr>
                <w:sz w:val="24"/>
                <w:szCs w:val="24"/>
                <w:color w:val="auto"/>
              </w:rPr>
            </w:pPr>
          </w:p>
        </w:tc>
        <w:tc>
          <w:tcPr>
            <w:tcW w:w="1280" w:type="dxa"/>
            <w:vAlign w:val="bottom"/>
            <w:tcBorders>
              <w:top w:val="single" w:sz="8" w:color="2C6937"/>
            </w:tcBorders>
          </w:tcPr>
          <w:p>
            <w:pPr>
              <w:ind w:left="780"/>
              <w:spacing w:after="0"/>
              <w:rPr>
                <w:sz w:val="20"/>
                <w:szCs w:val="20"/>
                <w:color w:val="auto"/>
              </w:rPr>
            </w:pPr>
            <w:r>
              <w:rPr>
                <w:rFonts w:ascii="Arial" w:cs="Arial" w:eastAsia="Arial" w:hAnsi="Arial"/>
                <w:sz w:val="15"/>
                <w:szCs w:val="15"/>
                <w:color w:val="auto"/>
              </w:rPr>
              <w:t>0.56 %</w:t>
            </w:r>
          </w:p>
        </w:tc>
      </w:tr>
      <w:tr>
        <w:trPr>
          <w:trHeight w:val="425"/>
        </w:trPr>
        <w:tc>
          <w:tcPr>
            <w:tcW w:w="1140" w:type="dxa"/>
            <w:vAlign w:val="bottom"/>
          </w:tcPr>
          <w:p>
            <w:pPr>
              <w:ind w:left="640"/>
              <w:spacing w:after="0"/>
              <w:rPr>
                <w:sz w:val="20"/>
                <w:szCs w:val="20"/>
                <w:color w:val="auto"/>
              </w:rPr>
            </w:pPr>
            <w:r>
              <w:rPr>
                <w:rFonts w:ascii="Arial" w:cs="Arial" w:eastAsia="Arial" w:hAnsi="Arial"/>
                <w:sz w:val="15"/>
                <w:szCs w:val="15"/>
                <w:b w:val="1"/>
                <w:bCs w:val="1"/>
                <w:color w:val="auto"/>
              </w:rPr>
              <w:t>1.07</w:t>
            </w:r>
          </w:p>
        </w:tc>
        <w:tc>
          <w:tcPr>
            <w:tcW w:w="100" w:type="dxa"/>
            <w:vAlign w:val="bottom"/>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5"/>
                <w:szCs w:val="15"/>
                <w:b w:val="1"/>
                <w:bCs w:val="1"/>
                <w:color w:val="auto"/>
              </w:rPr>
              <w:t>0.24</w:t>
            </w:r>
          </w:p>
        </w:tc>
        <w:tc>
          <w:tcPr>
            <w:tcW w:w="100" w:type="dxa"/>
            <w:vAlign w:val="bottom"/>
          </w:tcPr>
          <w:p>
            <w:pPr>
              <w:spacing w:after="0"/>
              <w:rPr>
                <w:sz w:val="24"/>
                <w:szCs w:val="24"/>
                <w:color w:val="auto"/>
              </w:rPr>
            </w:pPr>
          </w:p>
        </w:tc>
        <w:tc>
          <w:tcPr>
            <w:tcW w:w="1260" w:type="dxa"/>
            <w:vAlign w:val="bottom"/>
          </w:tcPr>
          <w:p>
            <w:pPr>
              <w:ind w:left="760"/>
              <w:spacing w:after="0"/>
              <w:rPr>
                <w:sz w:val="20"/>
                <w:szCs w:val="20"/>
                <w:color w:val="auto"/>
              </w:rPr>
            </w:pPr>
            <w:r>
              <w:rPr>
                <w:rFonts w:ascii="Arial" w:cs="Arial" w:eastAsia="Arial" w:hAnsi="Arial"/>
                <w:sz w:val="15"/>
                <w:szCs w:val="15"/>
                <w:b w:val="1"/>
                <w:bCs w:val="1"/>
                <w:color w:val="auto"/>
              </w:rPr>
              <w:t>0.48</w:t>
            </w:r>
          </w:p>
        </w:tc>
        <w:tc>
          <w:tcPr>
            <w:tcW w:w="100" w:type="dxa"/>
            <w:vAlign w:val="bottom"/>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5"/>
                <w:szCs w:val="15"/>
                <w:color w:val="auto"/>
              </w:rPr>
              <w:t>0.26</w:t>
            </w:r>
          </w:p>
        </w:tc>
        <w:tc>
          <w:tcPr>
            <w:tcW w:w="10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5"/>
                <w:szCs w:val="15"/>
                <w:color w:val="auto"/>
              </w:rPr>
              <w:t>0.55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421640</wp:posOffset>
            </wp:positionV>
            <wp:extent cx="680593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3440" w:space="100"/>
            <w:col w:w="7700"/>
          </w:cols>
          <w:pgMar w:left="320" w:top="248" w:right="3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99" w:name="page100"/>
    <w:bookmarkEnd w:id="99"/>
    <w:p>
      <w:pPr>
        <w:ind w:left="582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26670</wp:posOffset>
            </wp:positionV>
            <wp:extent cx="450278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502785" cy="8255"/>
                    </a:xfrm>
                    <a:prstGeom prst="rect">
                      <a:avLst/>
                    </a:prstGeom>
                    <a:noFill/>
                  </pic:spPr>
                </pic:pic>
              </a:graphicData>
            </a:graphic>
          </wp:anchor>
        </w:drawing>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3580" w:type="dxa"/>
            <w:vAlign w:val="bottom"/>
            <w:gridSpan w:val="4"/>
          </w:tcPr>
          <w:p>
            <w:pPr>
              <w:ind w:left="1280"/>
              <w:spacing w:after="0"/>
              <w:rPr>
                <w:sz w:val="20"/>
                <w:szCs w:val="20"/>
                <w:color w:val="auto"/>
              </w:rPr>
            </w:pPr>
            <w:r>
              <w:rPr>
                <w:rFonts w:ascii="Arial" w:cs="Arial" w:eastAsia="Arial" w:hAnsi="Arial"/>
                <w:sz w:val="14"/>
                <w:szCs w:val="14"/>
                <w:b w:val="1"/>
                <w:bCs w:val="1"/>
                <w:color w:val="auto"/>
              </w:rPr>
              <w:t>June 30, 2024</w:t>
            </w:r>
          </w:p>
        </w:tc>
        <w:tc>
          <w:tcPr>
            <w:tcW w:w="350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940" w:type="dxa"/>
            <w:vAlign w:val="bottom"/>
            <w:tcBorders>
              <w:top w:val="single" w:sz="8" w:color="2C6937"/>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Percentage of</w:t>
            </w:r>
          </w:p>
        </w:tc>
        <w:tc>
          <w:tcPr>
            <w:tcW w:w="1540" w:type="dxa"/>
            <w:vAlign w:val="bottom"/>
            <w:tcBorders>
              <w:top w:val="single" w:sz="8" w:color="2C6937"/>
            </w:tcBorders>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Borders>
              <w:top w:val="single" w:sz="8" w:color="2C6937"/>
            </w:tcBorders>
            <w:gridSpan w:val="2"/>
          </w:tcPr>
          <w:p>
            <w:pPr>
              <w:jc w:val="center"/>
              <w:ind w:right="100"/>
              <w:spacing w:after="0"/>
              <w:rPr>
                <w:sz w:val="20"/>
                <w:szCs w:val="20"/>
                <w:color w:val="auto"/>
              </w:rPr>
            </w:pPr>
            <w:r>
              <w:rPr>
                <w:rFonts w:ascii="Arial" w:cs="Arial" w:eastAsia="Arial" w:hAnsi="Arial"/>
                <w:sz w:val="14"/>
                <w:szCs w:val="14"/>
                <w:b w:val="1"/>
                <w:bCs w:val="1"/>
                <w:color w:val="auto"/>
                <w:w w:val="97"/>
              </w:rPr>
              <w:t>Percentage of</w:t>
            </w:r>
          </w:p>
        </w:tc>
        <w:tc>
          <w:tcPr>
            <w:tcW w:w="1540" w:type="dxa"/>
            <w:vAlign w:val="bottom"/>
            <w:tcBorders>
              <w:top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9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Single-Family</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Single-Family</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40" w:type="dxa"/>
            <w:vAlign w:val="bottom"/>
          </w:tcPr>
          <w:p>
            <w:pPr>
              <w:spacing w:after="0"/>
              <w:rPr>
                <w:sz w:val="12"/>
                <w:szCs w:val="12"/>
                <w:color w:val="auto"/>
              </w:rPr>
            </w:pPr>
          </w:p>
        </w:tc>
        <w:tc>
          <w:tcPr>
            <w:tcW w:w="19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9"/>
              </w:rPr>
              <w:t>Conventional</w:t>
            </w: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Serious Delinquency</w:t>
            </w:r>
          </w:p>
        </w:tc>
        <w:tc>
          <w:tcPr>
            <w:tcW w:w="19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Conventional</w:t>
            </w:r>
          </w:p>
        </w:tc>
        <w:tc>
          <w:tcPr>
            <w:tcW w:w="15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Serious Delinquency</w:t>
            </w:r>
          </w:p>
        </w:tc>
        <w:tc>
          <w:tcPr>
            <w:tcW w:w="0" w:type="dxa"/>
            <w:vAlign w:val="bottom"/>
          </w:tcPr>
          <w:p>
            <w:pPr>
              <w:spacing w:after="0"/>
              <w:rPr>
                <w:sz w:val="1"/>
                <w:szCs w:val="1"/>
                <w:color w:val="auto"/>
              </w:rPr>
            </w:pPr>
          </w:p>
        </w:tc>
      </w:tr>
      <w:tr>
        <w:trPr>
          <w:trHeight w:val="143"/>
        </w:trPr>
        <w:tc>
          <w:tcPr>
            <w:tcW w:w="4140" w:type="dxa"/>
            <w:vAlign w:val="bottom"/>
          </w:tcPr>
          <w:p>
            <w:pPr>
              <w:spacing w:after="0"/>
              <w:rPr>
                <w:sz w:val="12"/>
                <w:szCs w:val="12"/>
                <w:color w:val="auto"/>
              </w:rPr>
            </w:pPr>
          </w:p>
        </w:tc>
        <w:tc>
          <w:tcPr>
            <w:tcW w:w="194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8"/>
              </w:rPr>
              <w:t>Guaranty Book of Business</w:t>
            </w:r>
          </w:p>
        </w:tc>
        <w:tc>
          <w:tcPr>
            <w:tcW w:w="1640" w:type="dxa"/>
            <w:vAlign w:val="bottom"/>
            <w:gridSpan w:val="2"/>
            <w:vMerge w:val="continue"/>
          </w:tcPr>
          <w:p>
            <w:pPr>
              <w:spacing w:after="0"/>
              <w:rPr>
                <w:sz w:val="12"/>
                <w:szCs w:val="12"/>
                <w:color w:val="auto"/>
              </w:rPr>
            </w:pPr>
          </w:p>
        </w:tc>
        <w:tc>
          <w:tcPr>
            <w:tcW w:w="196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8"/>
              </w:rPr>
              <w:t>Guaranty Book of Business</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Based on UPB</w:t>
            </w:r>
          </w:p>
        </w:tc>
        <w:tc>
          <w:tcPr>
            <w:tcW w:w="1640" w:type="dxa"/>
            <w:vAlign w:val="bottom"/>
            <w:gridSpan w:val="2"/>
          </w:tcPr>
          <w:p>
            <w:pPr>
              <w:ind w:left="56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7"/>
                <w:szCs w:val="17"/>
                <w:b w:val="1"/>
                <w:bCs w:val="1"/>
                <w:color w:val="auto"/>
                <w:vertAlign w:val="superscript"/>
              </w:rPr>
              <w:t>(1)</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Based on UPB</w:t>
            </w:r>
          </w:p>
        </w:tc>
        <w:tc>
          <w:tcPr>
            <w:tcW w:w="1540" w:type="dxa"/>
            <w:vAlign w:val="bottom"/>
          </w:tcPr>
          <w:p>
            <w:pPr>
              <w:ind w:left="56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5"/>
                <w:szCs w:val="15"/>
                <w:b w:val="1"/>
                <w:bCs w:val="1"/>
                <w:color w:val="auto"/>
              </w:rPr>
              <w:t>Estimated mark-to-market LTV ratio:</w:t>
            </w:r>
          </w:p>
        </w:tc>
        <w:tc>
          <w:tcPr>
            <w:tcW w:w="184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140" w:type="dxa"/>
            <w:vAlign w:val="bottom"/>
          </w:tcPr>
          <w:p>
            <w:pPr>
              <w:ind w:left="160"/>
              <w:spacing w:after="0"/>
              <w:rPr>
                <w:sz w:val="20"/>
                <w:szCs w:val="20"/>
                <w:color w:val="auto"/>
              </w:rPr>
            </w:pPr>
            <w:r>
              <w:rPr>
                <w:rFonts w:ascii="Arial" w:cs="Arial" w:eastAsia="Arial" w:hAnsi="Arial"/>
                <w:sz w:val="15"/>
                <w:szCs w:val="15"/>
                <w:color w:val="auto"/>
              </w:rPr>
              <w:t>80.01% to 90%</w:t>
            </w:r>
          </w:p>
        </w:tc>
        <w:tc>
          <w:tcPr>
            <w:tcW w:w="1840" w:type="dxa"/>
            <w:vAlign w:val="bottom"/>
          </w:tcPr>
          <w:p>
            <w:pPr>
              <w:jc w:val="right"/>
              <w:spacing w:after="0"/>
              <w:rPr>
                <w:sz w:val="20"/>
                <w:szCs w:val="20"/>
                <w:color w:val="auto"/>
              </w:rPr>
            </w:pPr>
            <w:r>
              <w:rPr>
                <w:rFonts w:ascii="Arial" w:cs="Arial" w:eastAsia="Arial" w:hAnsi="Arial"/>
                <w:sz w:val="15"/>
                <w:szCs w:val="15"/>
                <w:b w:val="1"/>
                <w:bCs w:val="1"/>
                <w:color w:val="auto"/>
              </w:rPr>
              <w:t>6 %</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0.77 %</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5 %</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0.81 %</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90.01% to 100%</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0.57</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0.59</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Greater than 100%</w:t>
            </w:r>
          </w:p>
        </w:tc>
        <w:tc>
          <w:tcPr>
            <w:tcW w:w="184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3.34</w:t>
            </w:r>
          </w:p>
        </w:tc>
        <w:tc>
          <w:tcPr>
            <w:tcW w:w="100" w:type="dxa"/>
            <w:vAlign w:val="bottom"/>
          </w:tcPr>
          <w:p>
            <w:pPr>
              <w:spacing w:after="0"/>
              <w:rPr>
                <w:sz w:val="20"/>
                <w:szCs w:val="20"/>
                <w:color w:val="auto"/>
              </w:rPr>
            </w:pPr>
          </w:p>
        </w:tc>
        <w:tc>
          <w:tcPr>
            <w:tcW w:w="18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219"/>
        </w:trPr>
        <w:tc>
          <w:tcPr>
            <w:tcW w:w="4140" w:type="dxa"/>
            <w:vAlign w:val="bottom"/>
          </w:tcPr>
          <w:p>
            <w:pPr>
              <w:spacing w:after="0"/>
              <w:rPr>
                <w:sz w:val="20"/>
                <w:szCs w:val="20"/>
                <w:color w:val="auto"/>
              </w:rPr>
            </w:pPr>
            <w:r>
              <w:rPr>
                <w:rFonts w:ascii="Arial" w:cs="Arial" w:eastAsia="Arial" w:hAnsi="Arial"/>
                <w:sz w:val="15"/>
                <w:szCs w:val="15"/>
                <w:b w:val="1"/>
                <w:bCs w:val="1"/>
                <w:color w:val="auto"/>
              </w:rPr>
              <w:t>Geographical distribution:</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40" w:type="dxa"/>
            <w:vAlign w:val="bottom"/>
          </w:tcPr>
          <w:p>
            <w:pPr>
              <w:ind w:left="160"/>
              <w:spacing w:after="0"/>
              <w:rPr>
                <w:sz w:val="20"/>
                <w:szCs w:val="20"/>
                <w:color w:val="auto"/>
              </w:rPr>
            </w:pPr>
            <w:r>
              <w:rPr>
                <w:rFonts w:ascii="Arial" w:cs="Arial" w:eastAsia="Arial" w:hAnsi="Arial"/>
                <w:sz w:val="15"/>
                <w:szCs w:val="15"/>
                <w:color w:val="auto"/>
              </w:rPr>
              <w:t>California</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0.37</w:t>
            </w:r>
          </w:p>
        </w:tc>
        <w:tc>
          <w:tcPr>
            <w:tcW w:w="100" w:type="dxa"/>
            <w:vAlign w:val="bottom"/>
          </w:tcPr>
          <w:p>
            <w:pPr>
              <w:spacing w:after="0"/>
              <w:rPr>
                <w:sz w:val="21"/>
                <w:szCs w:val="21"/>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0.42</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Texas</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7</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0.57</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0.64</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Florida</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0.63</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0.73</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New York</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0.79</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0.92</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Illinois</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0.65</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0.70</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All other states</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60</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0.45</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0.52</w:t>
            </w:r>
          </w:p>
        </w:tc>
        <w:tc>
          <w:tcPr>
            <w:tcW w:w="0" w:type="dxa"/>
            <w:vAlign w:val="bottom"/>
          </w:tcPr>
          <w:p>
            <w:pPr>
              <w:spacing w:after="0"/>
              <w:rPr>
                <w:sz w:val="1"/>
                <w:szCs w:val="1"/>
                <w:color w:val="auto"/>
              </w:rPr>
            </w:pPr>
          </w:p>
        </w:tc>
      </w:tr>
      <w:tr>
        <w:trPr>
          <w:trHeight w:val="219"/>
        </w:trPr>
        <w:tc>
          <w:tcPr>
            <w:tcW w:w="4140" w:type="dxa"/>
            <w:vAlign w:val="bottom"/>
          </w:tcPr>
          <w:p>
            <w:pPr>
              <w:spacing w:after="0"/>
              <w:rPr>
                <w:sz w:val="20"/>
                <w:szCs w:val="20"/>
                <w:color w:val="auto"/>
              </w:rPr>
            </w:pPr>
            <w:r>
              <w:rPr>
                <w:rFonts w:ascii="Arial" w:cs="Arial" w:eastAsia="Arial" w:hAnsi="Arial"/>
                <w:sz w:val="15"/>
                <w:szCs w:val="15"/>
                <w:b w:val="1"/>
                <w:bCs w:val="1"/>
                <w:color w:val="auto"/>
              </w:rPr>
              <w:t>Vintages: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140" w:type="dxa"/>
            <w:vAlign w:val="bottom"/>
          </w:tcPr>
          <w:p>
            <w:pPr>
              <w:ind w:left="160"/>
              <w:spacing w:after="0"/>
              <w:rPr>
                <w:sz w:val="20"/>
                <w:szCs w:val="20"/>
                <w:color w:val="auto"/>
              </w:rPr>
            </w:pPr>
            <w:r>
              <w:rPr>
                <w:rFonts w:ascii="Arial" w:cs="Arial" w:eastAsia="Arial" w:hAnsi="Arial"/>
                <w:sz w:val="15"/>
                <w:szCs w:val="15"/>
                <w:color w:val="auto"/>
              </w:rPr>
              <w:t>2008 and prior</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18"/>
                <w:szCs w:val="18"/>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1.76</w:t>
            </w:r>
          </w:p>
        </w:tc>
        <w:tc>
          <w:tcPr>
            <w:tcW w:w="100" w:type="dxa"/>
            <w:vAlign w:val="bottom"/>
          </w:tcPr>
          <w:p>
            <w:pPr>
              <w:spacing w:after="0"/>
              <w:rPr>
                <w:sz w:val="18"/>
                <w:szCs w:val="18"/>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214"/>
        </w:trPr>
        <w:tc>
          <w:tcPr>
            <w:tcW w:w="4140" w:type="dxa"/>
            <w:vAlign w:val="bottom"/>
          </w:tcPr>
          <w:p>
            <w:pPr>
              <w:ind w:left="160"/>
              <w:spacing w:after="0"/>
              <w:rPr>
                <w:sz w:val="20"/>
                <w:szCs w:val="20"/>
                <w:color w:val="auto"/>
              </w:rPr>
            </w:pPr>
            <w:r>
              <w:rPr>
                <w:rFonts w:ascii="Arial" w:cs="Arial" w:eastAsia="Arial" w:hAnsi="Arial"/>
                <w:sz w:val="15"/>
                <w:szCs w:val="15"/>
                <w:color w:val="auto"/>
              </w:rPr>
              <w:t>2009-2024</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98</w:t>
            </w:r>
          </w:p>
        </w:tc>
        <w:tc>
          <w:tcPr>
            <w:tcW w:w="100" w:type="dxa"/>
            <w:vAlign w:val="bottom"/>
          </w:tcPr>
          <w:p>
            <w:pPr>
              <w:spacing w:after="0"/>
              <w:rPr>
                <w:sz w:val="18"/>
                <w:szCs w:val="18"/>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0.42</w:t>
            </w:r>
          </w:p>
        </w:tc>
        <w:tc>
          <w:tcPr>
            <w:tcW w:w="100" w:type="dxa"/>
            <w:vAlign w:val="bottom"/>
          </w:tcPr>
          <w:p>
            <w:pPr>
              <w:spacing w:after="0"/>
              <w:rPr>
                <w:sz w:val="18"/>
                <w:szCs w:val="18"/>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8"/>
                <w:szCs w:val="18"/>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0.47</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00" w:hanging="197"/>
        <w:spacing w:after="0"/>
        <w:tabs>
          <w:tab w:leader="none" w:pos="2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19" w:lineRule="exact"/>
        <w:rPr>
          <w:sz w:val="20"/>
          <w:szCs w:val="20"/>
          <w:color w:val="auto"/>
        </w:rPr>
      </w:pPr>
    </w:p>
    <w:p>
      <w:pPr>
        <w:ind w:left="220" w:hanging="217"/>
        <w:spacing w:after="0"/>
        <w:tabs>
          <w:tab w:leader="none" w:pos="220" w:val="left"/>
        </w:tabs>
        <w:numPr>
          <w:ilvl w:val="0"/>
          <w:numId w:val="93"/>
        </w:numPr>
        <w:rPr>
          <w:rFonts w:ascii="Arial" w:cs="Arial" w:eastAsia="Arial" w:hAnsi="Arial"/>
          <w:sz w:val="18"/>
          <w:szCs w:val="18"/>
          <w:color w:val="auto"/>
          <w:vertAlign w:val="superscript"/>
        </w:rPr>
      </w:pPr>
      <w:r>
        <w:rPr>
          <w:rFonts w:ascii="Arial" w:cs="Arial" w:eastAsia="Arial" w:hAnsi="Arial"/>
          <w:sz w:val="14"/>
          <w:szCs w:val="14"/>
          <w:color w:val="auto"/>
        </w:rPr>
        <w:t>Based on loan count, consists of single-family conventional loans that were 90 days or more past due or in the foreclosure process as of June 30, 2024 or December 31, 2023.</w:t>
      </w:r>
    </w:p>
    <w:p>
      <w:pPr>
        <w:spacing w:after="0" w:line="97"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Multifamily Credit Risk Characteristics</w:t>
      </w:r>
    </w:p>
    <w:p>
      <w:pPr>
        <w:spacing w:after="0" w:line="6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For multifamily loans, management monitors the serious delinquency rate, which is the percentage of multifamily loans, based on unpaid principal balance, that are 60 days or more past due, and loans with other higher risk characteristics to determine the overall credit quality of our multifamily book of business. Higher risk characteristics include, but are not limited to, current debt service coverage ratio (“DSCR”) below 1.0 and original LTV ratio greater than 80%. We stratify multifamily loans into different internal risk categories based on the credit risk inherent in each individual loan.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multifamily guaranty book of business.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Percentage of multifamily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Original LTV ratio:</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Greater than 80%</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Less than or equal to 80%</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Current DSCR below 1.0</w:t>
      </w:r>
      <w:r>
        <w:rPr>
          <w:rFonts w:ascii="Arial" w:cs="Arial" w:eastAsia="Arial" w:hAnsi="Arial"/>
          <w:sz w:val="20"/>
          <w:szCs w:val="20"/>
          <w:b w:val="1"/>
          <w:bCs w:val="1"/>
          <w:color w:val="auto"/>
          <w:vertAlign w:val="superscript"/>
        </w:rPr>
        <w:t>(4)</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120"/>
        <w:spacing w:after="0"/>
        <w:rPr>
          <w:sz w:val="20"/>
          <w:szCs w:val="20"/>
          <w:color w:val="auto"/>
        </w:rPr>
      </w:pPr>
      <w:r>
        <w:rPr>
          <w:rFonts w:ascii="Arial" w:cs="Arial" w:eastAsia="Arial" w:hAnsi="Arial"/>
          <w:sz w:val="14"/>
          <w:szCs w:val="14"/>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40" w:type="dxa"/>
            <w:vAlign w:val="bottom"/>
            <w:tcBorders>
              <w:top w:val="single" w:sz="8" w:color="2C6937"/>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5"/>
              </w:rPr>
              <w:t>June 30, 2024</w:t>
            </w:r>
            <w:r>
              <w:rPr>
                <w:rFonts w:ascii="Arial" w:cs="Arial" w:eastAsia="Arial" w:hAnsi="Arial"/>
                <w:sz w:val="17"/>
                <w:szCs w:val="17"/>
                <w:b w:val="1"/>
                <w:bCs w:val="1"/>
                <w:color w:val="auto"/>
                <w:w w:val="95"/>
                <w:vertAlign w:val="superscript"/>
              </w:rPr>
              <w:t>(1)</w:t>
            </w:r>
          </w:p>
        </w:tc>
        <w:tc>
          <w:tcPr>
            <w:tcW w:w="100" w:type="dxa"/>
            <w:vAlign w:val="bottom"/>
            <w:tcBorders>
              <w:top w:val="single" w:sz="8" w:color="2C6937"/>
            </w:tcBorders>
          </w:tcPr>
          <w:p>
            <w:pPr>
              <w:spacing w:after="0"/>
              <w:rPr>
                <w:sz w:val="17"/>
                <w:szCs w:val="17"/>
                <w:color w:val="auto"/>
              </w:rPr>
            </w:pPr>
          </w:p>
        </w:tc>
        <w:tc>
          <w:tcPr>
            <w:tcW w:w="3240" w:type="dxa"/>
            <w:vAlign w:val="bottom"/>
            <w:tcBorders>
              <w:top w:val="single" w:sz="8" w:color="2C6937"/>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5"/>
              </w:rPr>
              <w:t>December 31, 2023</w:t>
            </w:r>
            <w:r>
              <w:rPr>
                <w:rFonts w:ascii="Arial" w:cs="Arial" w:eastAsia="Arial" w:hAnsi="Arial"/>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212"/>
        </w:trPr>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30 Days Delinquent</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30 Days Delinquent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0" w:type="dxa"/>
            <w:vAlign w:val="bottom"/>
          </w:tcPr>
          <w:p>
            <w:pPr>
              <w:spacing w:after="0"/>
              <w:rPr>
                <w:sz w:val="1"/>
                <w:szCs w:val="1"/>
                <w:color w:val="auto"/>
              </w:rPr>
            </w:pPr>
          </w:p>
        </w:tc>
      </w:tr>
      <w:tr>
        <w:trPr>
          <w:trHeight w:val="218"/>
        </w:trPr>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0.19 %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b w:val="1"/>
                <w:bCs w:val="1"/>
                <w:color w:val="auto"/>
              </w:rPr>
              <w:t>0.44 %</w:t>
            </w:r>
          </w:p>
        </w:tc>
        <w:tc>
          <w:tcPr>
            <w:tcW w:w="100" w:type="dxa"/>
            <w:vAlign w:val="bottom"/>
          </w:tcPr>
          <w:p>
            <w:pPr>
              <w:spacing w:after="0"/>
              <w:rPr>
                <w:sz w:val="18"/>
                <w:szCs w:val="18"/>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0.10 %</w:t>
            </w:r>
          </w:p>
        </w:tc>
        <w:tc>
          <w:tcPr>
            <w:tcW w:w="120" w:type="dxa"/>
            <w:vAlign w:val="bottom"/>
          </w:tcPr>
          <w:p>
            <w:pPr>
              <w:spacing w:after="0"/>
              <w:rPr>
                <w:sz w:val="18"/>
                <w:szCs w:val="18"/>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color w:val="auto"/>
              </w:rPr>
              <w:t>0.46 %</w:t>
            </w:r>
          </w:p>
        </w:tc>
        <w:tc>
          <w:tcPr>
            <w:tcW w:w="0" w:type="dxa"/>
            <w:vAlign w:val="bottom"/>
          </w:tcPr>
          <w:p>
            <w:pPr>
              <w:spacing w:after="0"/>
              <w:rPr>
                <w:sz w:val="1"/>
                <w:szCs w:val="1"/>
                <w:color w:val="auto"/>
              </w:rPr>
            </w:pPr>
          </w:p>
        </w:tc>
      </w:tr>
      <w:tr>
        <w:trPr>
          <w:trHeight w:val="386"/>
        </w:trPr>
        <w:tc>
          <w:tcPr>
            <w:tcW w:w="15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3340" w:type="dxa"/>
            <w:vAlign w:val="bottom"/>
            <w:tcBorders>
              <w:bottom w:val="single" w:sz="8" w:color="2C6937"/>
            </w:tcBorders>
            <w:gridSpan w:val="4"/>
          </w:tcPr>
          <w:p>
            <w:pPr>
              <w:ind w:left="144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4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June 30, 2024</w:t>
            </w:r>
          </w:p>
        </w:tc>
        <w:tc>
          <w:tcPr>
            <w:tcW w:w="100" w:type="dxa"/>
            <w:vAlign w:val="bottom"/>
          </w:tcPr>
          <w:p>
            <w:pPr>
              <w:spacing w:after="0"/>
              <w:rPr>
                <w:sz w:val="16"/>
                <w:szCs w:val="16"/>
                <w:color w:val="auto"/>
              </w:rPr>
            </w:pPr>
          </w:p>
        </w:tc>
        <w:tc>
          <w:tcPr>
            <w:tcW w:w="324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8"/>
              </w:rPr>
              <w:t>December 31, 2023</w:t>
            </w:r>
          </w:p>
        </w:tc>
        <w:tc>
          <w:tcPr>
            <w:tcW w:w="0" w:type="dxa"/>
            <w:vAlign w:val="bottom"/>
          </w:tcPr>
          <w:p>
            <w:pPr>
              <w:spacing w:after="0"/>
              <w:rPr>
                <w:sz w:val="1"/>
                <w:szCs w:val="1"/>
                <w:color w:val="auto"/>
              </w:rPr>
            </w:pPr>
          </w:p>
        </w:tc>
      </w:tr>
      <w:tr>
        <w:trPr>
          <w:trHeight w:val="178"/>
        </w:trPr>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Percentage of</w:t>
            </w:r>
          </w:p>
        </w:tc>
        <w:tc>
          <w:tcPr>
            <w:tcW w:w="1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Serious Delinquency</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Percentage of</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 Delinquency</w:t>
            </w:r>
          </w:p>
        </w:tc>
        <w:tc>
          <w:tcPr>
            <w:tcW w:w="0" w:type="dxa"/>
            <w:vAlign w:val="bottom"/>
          </w:tcPr>
          <w:p>
            <w:pPr>
              <w:spacing w:after="0"/>
              <w:rPr>
                <w:sz w:val="1"/>
                <w:szCs w:val="1"/>
                <w:color w:val="auto"/>
              </w:rPr>
            </w:pPr>
          </w:p>
        </w:tc>
      </w:tr>
      <w:tr>
        <w:trPr>
          <w:trHeight w:val="155"/>
        </w:trPr>
        <w:tc>
          <w:tcPr>
            <w:tcW w:w="168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8"/>
              </w:rPr>
              <w:t>Multifamily Guaranty</w:t>
            </w:r>
          </w:p>
        </w:tc>
        <w:tc>
          <w:tcPr>
            <w:tcW w:w="1660" w:type="dxa"/>
            <w:vAlign w:val="bottom"/>
            <w:gridSpan w:val="2"/>
            <w:vMerge w:val="continue"/>
          </w:tcPr>
          <w:p>
            <w:pPr>
              <w:spacing w:after="0"/>
              <w:rPr>
                <w:sz w:val="13"/>
                <w:szCs w:val="13"/>
                <w:color w:val="auto"/>
              </w:rPr>
            </w:pPr>
          </w:p>
        </w:tc>
        <w:tc>
          <w:tcPr>
            <w:tcW w:w="16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8"/>
              </w:rPr>
              <w:t>Multifamily Guaranty</w:t>
            </w: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Book of Business</w:t>
            </w:r>
            <w:r>
              <w:rPr>
                <w:rFonts w:ascii="Arial" w:cs="Arial" w:eastAsia="Arial" w:hAnsi="Arial"/>
                <w:sz w:val="17"/>
                <w:szCs w:val="17"/>
                <w:b w:val="1"/>
                <w:bCs w:val="1"/>
                <w:color w:val="auto"/>
                <w:w w:val="96"/>
                <w:vertAlign w:val="superscript"/>
              </w:rPr>
              <w:t>(1)</w:t>
            </w:r>
          </w:p>
        </w:tc>
        <w:tc>
          <w:tcPr>
            <w:tcW w:w="1660" w:type="dxa"/>
            <w:vAlign w:val="bottom"/>
            <w:gridSpan w:val="2"/>
          </w:tcPr>
          <w:p>
            <w:pPr>
              <w:jc w:val="center"/>
              <w:ind w:right="140"/>
              <w:spacing w:after="0" w:line="203"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Book of Business</w:t>
            </w:r>
            <w:r>
              <w:rPr>
                <w:rFonts w:ascii="Arial" w:cs="Arial" w:eastAsia="Arial" w:hAnsi="Arial"/>
                <w:sz w:val="17"/>
                <w:szCs w:val="17"/>
                <w:b w:val="1"/>
                <w:bCs w:val="1"/>
                <w:color w:val="auto"/>
                <w:w w:val="96"/>
                <w:vertAlign w:val="superscript"/>
              </w:rPr>
              <w:t>(1)</w:t>
            </w:r>
          </w:p>
        </w:tc>
        <w:tc>
          <w:tcPr>
            <w:tcW w:w="1560" w:type="dxa"/>
            <w:vAlign w:val="bottom"/>
          </w:tcPr>
          <w:p>
            <w:pPr>
              <w:jc w:val="center"/>
              <w:spacing w:after="0" w:line="203"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0" w:type="dxa"/>
            <w:vAlign w:val="bottom"/>
          </w:tcPr>
          <w:p>
            <w:pPr>
              <w:spacing w:after="0"/>
              <w:rPr>
                <w:sz w:val="1"/>
                <w:szCs w:val="1"/>
                <w:color w:val="auto"/>
              </w:rPr>
            </w:pPr>
          </w:p>
        </w:tc>
      </w:tr>
      <w:tr>
        <w:trPr>
          <w:trHeight w:val="451"/>
        </w:trPr>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1 %</w:t>
            </w:r>
          </w:p>
        </w:tc>
        <w:tc>
          <w:tcPr>
            <w:tcW w:w="100" w:type="dxa"/>
            <w:vAlign w:val="bottom"/>
          </w:tcPr>
          <w:p>
            <w:pPr>
              <w:spacing w:after="0"/>
              <w:rPr>
                <w:sz w:val="24"/>
                <w:szCs w:val="24"/>
                <w:color w:val="auto"/>
              </w:rPr>
            </w:pPr>
          </w:p>
        </w:tc>
        <w:tc>
          <w:tcPr>
            <w:tcW w:w="20" w:type="dxa"/>
            <w:vAlign w:val="bottom"/>
            <w:tcBorders>
              <w:top w:val="single" w:sz="8" w:color="2C6937"/>
            </w:tcBorders>
          </w:tcPr>
          <w:p>
            <w:pPr>
              <w:spacing w:after="0"/>
              <w:rPr>
                <w:sz w:val="24"/>
                <w:szCs w:val="24"/>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b w:val="1"/>
                <w:bCs w:val="1"/>
                <w:color w:val="auto"/>
              </w:rPr>
              <w:t>0.13 %</w:t>
            </w:r>
          </w:p>
        </w:tc>
        <w:tc>
          <w:tcPr>
            <w:tcW w:w="100" w:type="dxa"/>
            <w:vAlign w:val="bottom"/>
          </w:tcPr>
          <w:p>
            <w:pPr>
              <w:spacing w:after="0"/>
              <w:rPr>
                <w:sz w:val="24"/>
                <w:szCs w:val="24"/>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1 %</w:t>
            </w:r>
          </w:p>
        </w:tc>
        <w:tc>
          <w:tcPr>
            <w:tcW w:w="120" w:type="dxa"/>
            <w:vAlign w:val="bottom"/>
          </w:tcPr>
          <w:p>
            <w:pPr>
              <w:spacing w:after="0"/>
              <w:rPr>
                <w:sz w:val="24"/>
                <w:szCs w:val="24"/>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color w:val="auto"/>
              </w:rPr>
              <w:t>0.13 %</w:t>
            </w:r>
          </w:p>
        </w:tc>
        <w:tc>
          <w:tcPr>
            <w:tcW w:w="0" w:type="dxa"/>
            <w:vAlign w:val="bottom"/>
          </w:tcPr>
          <w:p>
            <w:pPr>
              <w:spacing w:after="0"/>
              <w:rPr>
                <w:sz w:val="1"/>
                <w:szCs w:val="1"/>
                <w:color w:val="auto"/>
              </w:rPr>
            </w:pPr>
          </w:p>
        </w:tc>
      </w:tr>
      <w:tr>
        <w:trPr>
          <w:trHeight w:val="232"/>
        </w:trPr>
        <w:tc>
          <w:tcPr>
            <w:tcW w:w="1560" w:type="dxa"/>
            <w:vAlign w:val="bottom"/>
          </w:tcPr>
          <w:p>
            <w:pPr>
              <w:jc w:val="right"/>
              <w:ind w:right="128"/>
              <w:spacing w:after="0"/>
              <w:rPr>
                <w:sz w:val="20"/>
                <w:szCs w:val="20"/>
                <w:color w:val="auto"/>
              </w:rPr>
            </w:pPr>
            <w:r>
              <w:rPr>
                <w:rFonts w:ascii="Arial" w:cs="Arial" w:eastAsia="Arial" w:hAnsi="Arial"/>
                <w:sz w:val="15"/>
                <w:szCs w:val="15"/>
                <w:b w:val="1"/>
                <w:bCs w:val="1"/>
                <w:color w:val="auto"/>
              </w:rPr>
              <w:t>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b w:val="1"/>
                <w:bCs w:val="1"/>
                <w:color w:val="auto"/>
              </w:rPr>
              <w:t>0.45</w:t>
            </w:r>
          </w:p>
        </w:tc>
        <w:tc>
          <w:tcPr>
            <w:tcW w:w="100" w:type="dxa"/>
            <w:vAlign w:val="bottom"/>
          </w:tcPr>
          <w:p>
            <w:pPr>
              <w:spacing w:after="0"/>
              <w:rPr>
                <w:sz w:val="20"/>
                <w:szCs w:val="20"/>
                <w:color w:val="auto"/>
              </w:rPr>
            </w:pPr>
          </w:p>
        </w:tc>
        <w:tc>
          <w:tcPr>
            <w:tcW w:w="1560" w:type="dxa"/>
            <w:vAlign w:val="bottom"/>
          </w:tcPr>
          <w:p>
            <w:pPr>
              <w:jc w:val="right"/>
              <w:ind w:right="108"/>
              <w:spacing w:after="0"/>
              <w:rPr>
                <w:sz w:val="20"/>
                <w:szCs w:val="20"/>
                <w:color w:val="auto"/>
              </w:rPr>
            </w:pPr>
            <w:r>
              <w:rPr>
                <w:rFonts w:ascii="Arial" w:cs="Arial" w:eastAsia="Arial" w:hAnsi="Arial"/>
                <w:sz w:val="15"/>
                <w:szCs w:val="15"/>
                <w:color w:val="auto"/>
              </w:rPr>
              <w:t>99</w:t>
            </w:r>
          </w:p>
        </w:tc>
        <w:tc>
          <w:tcPr>
            <w:tcW w:w="1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0.46</w:t>
            </w:r>
          </w:p>
        </w:tc>
        <w:tc>
          <w:tcPr>
            <w:tcW w:w="0" w:type="dxa"/>
            <w:vAlign w:val="bottom"/>
          </w:tcPr>
          <w:p>
            <w:pPr>
              <w:spacing w:after="0"/>
              <w:rPr>
                <w:sz w:val="1"/>
                <w:szCs w:val="1"/>
                <w:color w:val="auto"/>
              </w:rPr>
            </w:pPr>
          </w:p>
        </w:tc>
      </w:tr>
      <w:tr>
        <w:trPr>
          <w:trHeight w:val="232"/>
        </w:trPr>
        <w:tc>
          <w:tcPr>
            <w:tcW w:w="1560" w:type="dxa"/>
            <w:vAlign w:val="bottom"/>
          </w:tcPr>
          <w:p>
            <w:pPr>
              <w:jc w:val="right"/>
              <w:ind w:right="128"/>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b w:val="1"/>
                <w:bCs w:val="1"/>
                <w:color w:val="auto"/>
              </w:rPr>
              <w:t>5.01</w:t>
            </w:r>
          </w:p>
        </w:tc>
        <w:tc>
          <w:tcPr>
            <w:tcW w:w="100" w:type="dxa"/>
            <w:vAlign w:val="bottom"/>
          </w:tcPr>
          <w:p>
            <w:pPr>
              <w:spacing w:after="0"/>
              <w:rPr>
                <w:sz w:val="20"/>
                <w:szCs w:val="20"/>
                <w:color w:val="auto"/>
              </w:rPr>
            </w:pPr>
          </w:p>
        </w:tc>
        <w:tc>
          <w:tcPr>
            <w:tcW w:w="1560" w:type="dxa"/>
            <w:vAlign w:val="bottom"/>
          </w:tcPr>
          <w:p>
            <w:pPr>
              <w:jc w:val="right"/>
              <w:ind w:right="108"/>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7.04</w:t>
            </w:r>
          </w:p>
        </w:tc>
        <w:tc>
          <w:tcPr>
            <w:tcW w:w="0" w:type="dxa"/>
            <w:vAlign w:val="bottom"/>
          </w:tcPr>
          <w:p>
            <w:pPr>
              <w:spacing w:after="0"/>
              <w:rPr>
                <w:sz w:val="1"/>
                <w:szCs w:val="1"/>
                <w:color w:val="auto"/>
              </w:rPr>
            </w:pPr>
          </w:p>
        </w:tc>
      </w:tr>
    </w:tbl>
    <w:p>
      <w:pPr>
        <w:spacing w:after="0" w:line="115" w:lineRule="exact"/>
        <w:rPr>
          <w:sz w:val="20"/>
          <w:szCs w:val="20"/>
          <w:color w:val="auto"/>
        </w:rPr>
      </w:pPr>
    </w:p>
    <w:p>
      <w:pPr>
        <w:sectPr>
          <w:pgSz w:w="11900" w:h="16838" w:orient="portrait"/>
          <w:cols w:equalWidth="0" w:num="2">
            <w:col w:w="3940" w:space="720"/>
            <w:col w:w="6580"/>
          </w:cols>
          <w:pgMar w:left="320" w:top="248" w:right="339" w:bottom="1440" w:gutter="0" w:footer="0" w:header="0"/>
          <w:type w:val="continuous"/>
        </w:sectPr>
      </w:pPr>
    </w:p>
    <w:p>
      <w:pPr>
        <w:ind w:left="240" w:right="400" w:hanging="237"/>
        <w:spacing w:after="0" w:line="226" w:lineRule="auto"/>
        <w:tabs>
          <w:tab w:leader="none" w:pos="233"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unpaid principal balance of multifamily loans for each category divided by the aggregate unpaid principal balance of loans in our multifamily guaranty book of business.</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Consists of multifamily loans that were 60 days or more past due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364490</wp:posOffset>
            </wp:positionV>
            <wp:extent cx="680593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00" w:name="page101"/>
    <w:bookmarkEnd w:id="100"/>
    <w:p>
      <w:pPr>
        <w:ind w:left="582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140" w:hanging="237"/>
        <w:spacing w:after="0" w:line="226" w:lineRule="auto"/>
        <w:tabs>
          <w:tab w:leader="none" w:pos="233"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multifamily loans that were seriously delinquent divided by the aggregate unpaid principal balance of multifamily loans for each category included in our multifamily guaranty book of business.</w:t>
      </w:r>
    </w:p>
    <w:p>
      <w:pPr>
        <w:spacing w:after="0" w:line="27" w:lineRule="exact"/>
        <w:rPr>
          <w:rFonts w:ascii="Arial" w:cs="Arial" w:eastAsia="Arial" w:hAnsi="Arial"/>
          <w:sz w:val="18"/>
          <w:szCs w:val="18"/>
          <w:color w:val="auto"/>
          <w:vertAlign w:val="superscript"/>
        </w:rPr>
      </w:pPr>
    </w:p>
    <w:p>
      <w:pPr>
        <w:ind w:left="240" w:right="560" w:hanging="237"/>
        <w:spacing w:after="0" w:line="218" w:lineRule="auto"/>
        <w:tabs>
          <w:tab w:leader="none" w:pos="233"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Our estimates of current DSCRs are based on the latest available income information covering a 12 month period, from quarterly and annual statements for these properties including the related debt service.</w:t>
      </w:r>
    </w:p>
    <w:p>
      <w:pPr>
        <w:spacing w:after="0" w:line="97"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Other Concentrations</w:t>
      </w:r>
    </w:p>
    <w:p>
      <w:pPr>
        <w:spacing w:after="0" w:line="81" w:lineRule="exact"/>
        <w:rPr>
          <w:sz w:val="20"/>
          <w:szCs w:val="20"/>
          <w:color w:val="auto"/>
        </w:rPr>
      </w:pPr>
    </w:p>
    <w:p>
      <w:pPr>
        <w:jc w:val="both"/>
        <w:ind w:right="280"/>
        <w:spacing w:after="0" w:line="293" w:lineRule="auto"/>
        <w:rPr>
          <w:sz w:val="20"/>
          <w:szCs w:val="20"/>
          <w:color w:val="auto"/>
        </w:rPr>
      </w:pPr>
      <w:r>
        <w:rPr>
          <w:rFonts w:ascii="Arial" w:cs="Arial" w:eastAsia="Arial" w:hAnsi="Arial"/>
          <w:sz w:val="16"/>
          <w:szCs w:val="16"/>
          <w:i w:val="1"/>
          <w:iCs w:val="1"/>
          <w:color w:val="auto"/>
        </w:rPr>
        <w:t xml:space="preserve">Mortgage Insurers. </w:t>
      </w:r>
      <w:r>
        <w:rPr>
          <w:rFonts w:ascii="Arial" w:cs="Arial" w:eastAsia="Arial" w:hAnsi="Arial"/>
          <w:sz w:val="16"/>
          <w:szCs w:val="16"/>
          <w:color w:val="auto"/>
        </w:rPr>
        <w:t>Mortgage insurance “risk in force” refers to our maximum potential loss recovery under the applicable mortgage insurance policies in</w:t>
      </w:r>
      <w:r>
        <w:rPr>
          <w:rFonts w:ascii="Arial" w:cs="Arial" w:eastAsia="Arial" w:hAnsi="Arial"/>
          <w:sz w:val="16"/>
          <w:szCs w:val="16"/>
          <w:i w:val="1"/>
          <w:iCs w:val="1"/>
          <w:color w:val="auto"/>
        </w:rPr>
        <w:t xml:space="preserve"> </w:t>
      </w:r>
      <w:r>
        <w:rPr>
          <w:rFonts w:ascii="Arial" w:cs="Arial" w:eastAsia="Arial" w:hAnsi="Arial"/>
          <w:sz w:val="16"/>
          <w:szCs w:val="16"/>
          <w:color w:val="auto"/>
        </w:rPr>
        <w:t>force and is generally based on the loan-level insurance coverage percentage and, if applicable, any aggregate pool loss limit, as specified in the policy.</w:t>
      </w:r>
    </w:p>
    <w:p>
      <w:pPr>
        <w:spacing w:after="0" w:line="1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following table displays our total mortgage insurance risk in force by primary and pool insurance, as well as the total risk-in-force mortgage insurance coverage as a percentage of the single-family conventional guaranty book of business.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tcPr>
          <w:p>
            <w:pPr>
              <w:spacing w:after="0"/>
              <w:rPr>
                <w:sz w:val="17"/>
                <w:szCs w:val="17"/>
                <w:color w:val="auto"/>
              </w:rPr>
            </w:pPr>
          </w:p>
        </w:tc>
        <w:tc>
          <w:tcPr>
            <w:tcW w:w="400" w:type="dxa"/>
            <w:vAlign w:val="bottom"/>
            <w:tcBorders>
              <w:bottom w:val="single" w:sz="8" w:color="2C6937"/>
            </w:tcBorders>
            <w:gridSpan w:val="3"/>
          </w:tcPr>
          <w:p>
            <w:pPr>
              <w:jc w:val="right"/>
              <w:ind w:right="60"/>
              <w:spacing w:after="0"/>
              <w:rPr>
                <w:sz w:val="20"/>
                <w:szCs w:val="20"/>
                <w:color w:val="auto"/>
              </w:rPr>
            </w:pPr>
            <w:r>
              <w:rPr>
                <w:rFonts w:ascii="Arial" w:cs="Arial" w:eastAsia="Arial" w:hAnsi="Arial"/>
                <w:sz w:val="14"/>
                <w:szCs w:val="14"/>
                <w:b w:val="1"/>
                <w:bCs w:val="1"/>
                <w:color w:val="auto"/>
                <w:w w:val="91"/>
              </w:rPr>
              <w:t>As of</w:t>
            </w:r>
          </w:p>
        </w:tc>
        <w:tc>
          <w:tcPr>
            <w:tcW w:w="1160" w:type="dxa"/>
            <w:vAlign w:val="bottom"/>
            <w:tcBorders>
              <w:bottom w:val="single" w:sz="8" w:color="2C6937"/>
            </w:tcBorders>
          </w:tcPr>
          <w:p>
            <w:pPr>
              <w:spacing w:after="0"/>
              <w:rPr>
                <w:sz w:val="17"/>
                <w:szCs w:val="17"/>
                <w:color w:val="auto"/>
              </w:rPr>
            </w:pPr>
          </w:p>
        </w:tc>
        <w:tc>
          <w:tcPr>
            <w:tcW w:w="15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2"/>
          </w:tcPr>
          <w:p>
            <w:pPr>
              <w:ind w:left="800"/>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68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78"/>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7"/>
              </w:rPr>
              <w:t>Percentage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9"/>
              </w:rPr>
              <w:t>Percentage of</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8"/>
              </w:rPr>
              <w:t>Single-Family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6"/>
              </w:rPr>
              <w:t>Single-Family</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6"/>
              </w:rPr>
              <w:t>Conventional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9"/>
              </w:rPr>
              <w:t>Conventional</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Risk in Force</w:t>
            </w: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7"/>
              </w:rPr>
              <w:t>Guaranty Book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Risk in Force</w:t>
            </w: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8"/>
              </w:rPr>
              <w:t>Guaranty Book of</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vMerge w:val="continue"/>
          </w:tcPr>
          <w:p>
            <w:pPr>
              <w:spacing w:after="0"/>
              <w:rPr>
                <w:sz w:val="16"/>
                <w:szCs w:val="16"/>
                <w:color w:val="auto"/>
              </w:rPr>
            </w:pPr>
          </w:p>
        </w:tc>
        <w:tc>
          <w:tcPr>
            <w:tcW w:w="1400" w:type="dxa"/>
            <w:vAlign w:val="bottom"/>
            <w:tcBorders>
              <w:bottom w:val="single" w:sz="8" w:color="2C6937"/>
            </w:tcBorders>
          </w:tcPr>
          <w:p>
            <w:pPr>
              <w:jc w:val="center"/>
              <w:ind w:left="150"/>
              <w:spacing w:after="0"/>
              <w:rPr>
                <w:sz w:val="20"/>
                <w:szCs w:val="20"/>
                <w:color w:val="auto"/>
              </w:rPr>
            </w:pPr>
            <w:r>
              <w:rPr>
                <w:rFonts w:ascii="Arial" w:cs="Arial" w:eastAsia="Arial" w:hAnsi="Arial"/>
                <w:sz w:val="14"/>
                <w:szCs w:val="14"/>
                <w:b w:val="1"/>
                <w:bCs w:val="1"/>
                <w:color w:val="auto"/>
                <w:w w:val="99"/>
              </w:rPr>
              <w:t>Business</w:t>
            </w:r>
          </w:p>
        </w:tc>
        <w:tc>
          <w:tcPr>
            <w:tcW w:w="1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vMerge w:val="continue"/>
          </w:tcPr>
          <w:p>
            <w:pPr>
              <w:spacing w:after="0"/>
              <w:rPr>
                <w:sz w:val="16"/>
                <w:szCs w:val="16"/>
                <w:color w:val="auto"/>
              </w:rPr>
            </w:pPr>
          </w:p>
        </w:tc>
        <w:tc>
          <w:tcPr>
            <w:tcW w:w="1520" w:type="dxa"/>
            <w:vAlign w:val="bottom"/>
            <w:tcBorders>
              <w:bottom w:val="single" w:sz="8" w:color="2C6937"/>
            </w:tcBorders>
          </w:tcPr>
          <w:p>
            <w:pPr>
              <w:jc w:val="center"/>
              <w:ind w:left="10"/>
              <w:spacing w:after="0"/>
              <w:rPr>
                <w:sz w:val="20"/>
                <w:szCs w:val="20"/>
                <w:color w:val="auto"/>
              </w:rPr>
            </w:pPr>
            <w:r>
              <w:rPr>
                <w:rFonts w:ascii="Arial" w:cs="Arial" w:eastAsia="Arial" w:hAnsi="Arial"/>
                <w:sz w:val="14"/>
                <w:szCs w:val="14"/>
                <w:b w:val="1"/>
                <w:bCs w:val="1"/>
                <w:color w:val="auto"/>
                <w:w w:val="96"/>
              </w:rPr>
              <w:t>Business</w:t>
            </w:r>
          </w:p>
        </w:tc>
        <w:tc>
          <w:tcPr>
            <w:tcW w:w="0" w:type="dxa"/>
            <w:vAlign w:val="bottom"/>
          </w:tcPr>
          <w:p>
            <w:pPr>
              <w:spacing w:after="0"/>
              <w:rPr>
                <w:sz w:val="1"/>
                <w:szCs w:val="1"/>
                <w:color w:val="auto"/>
              </w:rPr>
            </w:pPr>
          </w:p>
        </w:tc>
      </w:tr>
      <w:tr>
        <w:trPr>
          <w:trHeight w:val="198"/>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60" w:type="dxa"/>
            <w:vAlign w:val="bottom"/>
            <w:gridSpan w:val="5"/>
          </w:tcPr>
          <w:p>
            <w:pPr>
              <w:jc w:val="right"/>
              <w:ind w:right="686"/>
              <w:spacing w:after="0"/>
              <w:rPr>
                <w:sz w:val="20"/>
                <w:szCs w:val="20"/>
                <w:color w:val="auto"/>
              </w:rPr>
            </w:pPr>
            <w:r>
              <w:rPr>
                <w:rFonts w:ascii="Arial" w:cs="Arial" w:eastAsia="Arial" w:hAnsi="Arial"/>
                <w:sz w:val="14"/>
                <w:szCs w:val="14"/>
                <w:b w:val="1"/>
                <w:bCs w:val="1"/>
                <w:color w:val="auto"/>
              </w:rPr>
              <w:t>(Dollars in millions)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420" w:type="dxa"/>
            <w:vAlign w:val="bottom"/>
            <w:gridSpan w:val="2"/>
          </w:tcPr>
          <w:p>
            <w:pPr>
              <w:ind w:left="20"/>
              <w:spacing w:after="0"/>
              <w:rPr>
                <w:sz w:val="20"/>
                <w:szCs w:val="20"/>
                <w:color w:val="auto"/>
              </w:rPr>
            </w:pPr>
            <w:r>
              <w:rPr>
                <w:rFonts w:ascii="Arial" w:cs="Arial" w:eastAsia="Arial" w:hAnsi="Arial"/>
                <w:sz w:val="15"/>
                <w:szCs w:val="15"/>
                <w:color w:val="auto"/>
              </w:rPr>
              <w:t>Mortgage insurance risk in force:</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420" w:type="dxa"/>
            <w:vAlign w:val="bottom"/>
            <w:gridSpan w:val="2"/>
          </w:tcPr>
          <w:p>
            <w:pPr>
              <w:ind w:left="160"/>
              <w:spacing w:after="0"/>
              <w:rPr>
                <w:sz w:val="20"/>
                <w:szCs w:val="20"/>
                <w:color w:val="auto"/>
              </w:rPr>
            </w:pPr>
            <w:r>
              <w:rPr>
                <w:rFonts w:ascii="Arial" w:cs="Arial" w:eastAsia="Arial" w:hAnsi="Arial"/>
                <w:sz w:val="15"/>
                <w:szCs w:val="15"/>
                <w:color w:val="auto"/>
              </w:rPr>
              <w:t>Primary mortgage insurance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ind w:right="6"/>
              <w:spacing w:after="0"/>
              <w:rPr>
                <w:sz w:val="20"/>
                <w:szCs w:val="20"/>
                <w:color w:val="auto"/>
              </w:rPr>
            </w:pPr>
            <w:r>
              <w:rPr>
                <w:rFonts w:ascii="Arial" w:cs="Arial" w:eastAsia="Arial" w:hAnsi="Arial"/>
                <w:sz w:val="15"/>
                <w:szCs w:val="15"/>
                <w:b w:val="1"/>
                <w:bCs w:val="1"/>
                <w:color w:val="auto"/>
              </w:rPr>
              <w:t>199,645</w:t>
            </w:r>
          </w:p>
        </w:tc>
        <w:tc>
          <w:tcPr>
            <w:tcW w:w="1400" w:type="dxa"/>
            <w:vAlign w:val="bottom"/>
          </w:tcPr>
          <w:p>
            <w:pPr>
              <w:spacing w:after="0"/>
              <w:rPr>
                <w:sz w:val="21"/>
                <w:szCs w:val="21"/>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200,023</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300" w:type="dxa"/>
            <w:vAlign w:val="bottom"/>
            <w:tcBorders>
              <w:bottom w:val="single" w:sz="8" w:color="2C6937"/>
            </w:tcBorders>
          </w:tcPr>
          <w:p>
            <w:pPr>
              <w:ind w:left="160"/>
              <w:spacing w:after="0"/>
              <w:rPr>
                <w:sz w:val="20"/>
                <w:szCs w:val="20"/>
                <w:color w:val="auto"/>
              </w:rPr>
            </w:pPr>
            <w:r>
              <w:rPr>
                <w:rFonts w:ascii="Arial" w:cs="Arial" w:eastAsia="Arial" w:hAnsi="Arial"/>
                <w:sz w:val="15"/>
                <w:szCs w:val="15"/>
                <w:color w:val="auto"/>
              </w:rPr>
              <w:t>Pool mortgage insurance</w:t>
            </w:r>
          </w:p>
        </w:tc>
        <w:tc>
          <w:tcPr>
            <w:tcW w:w="12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85</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98</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gridSpan w:val="2"/>
          </w:tcPr>
          <w:p>
            <w:pPr>
              <w:ind w:left="320"/>
              <w:spacing w:after="0"/>
              <w:rPr>
                <w:sz w:val="20"/>
                <w:szCs w:val="20"/>
                <w:color w:val="auto"/>
              </w:rPr>
            </w:pPr>
            <w:r>
              <w:rPr>
                <w:rFonts w:ascii="Arial" w:cs="Arial" w:eastAsia="Arial" w:hAnsi="Arial"/>
                <w:sz w:val="15"/>
                <w:szCs w:val="15"/>
                <w:color w:val="auto"/>
              </w:rPr>
              <w:t>Total mortgage insurance risk in force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ind w:right="6"/>
              <w:spacing w:after="0"/>
              <w:rPr>
                <w:sz w:val="20"/>
                <w:szCs w:val="20"/>
                <w:color w:val="auto"/>
              </w:rPr>
            </w:pPr>
            <w:r>
              <w:rPr>
                <w:rFonts w:ascii="Arial" w:cs="Arial" w:eastAsia="Arial" w:hAnsi="Arial"/>
                <w:sz w:val="15"/>
                <w:szCs w:val="15"/>
                <w:b w:val="1"/>
                <w:bCs w:val="1"/>
                <w:color w:val="auto"/>
              </w:rPr>
              <w:t>199,730</w:t>
            </w:r>
          </w:p>
        </w:tc>
        <w:tc>
          <w:tcPr>
            <w:tcW w:w="1400" w:type="dxa"/>
            <w:vAlign w:val="bottom"/>
          </w:tcPr>
          <w:p>
            <w:pPr>
              <w:jc w:val="center"/>
              <w:ind w:left="150"/>
              <w:spacing w:after="0"/>
              <w:rPr>
                <w:sz w:val="20"/>
                <w:szCs w:val="20"/>
                <w:color w:val="auto"/>
              </w:rPr>
            </w:pPr>
            <w:r>
              <w:rPr>
                <w:rFonts w:ascii="Arial" w:cs="Arial" w:eastAsia="Arial" w:hAnsi="Arial"/>
                <w:sz w:val="15"/>
                <w:szCs w:val="15"/>
                <w:b w:val="1"/>
                <w:bCs w:val="1"/>
                <w:color w:val="auto"/>
              </w:rPr>
              <w:t>6%</w:t>
            </w:r>
          </w:p>
        </w:tc>
        <w:tc>
          <w:tcPr>
            <w:tcW w:w="40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200,121</w:t>
            </w:r>
          </w:p>
        </w:tc>
        <w:tc>
          <w:tcPr>
            <w:tcW w:w="1520" w:type="dxa"/>
            <w:vAlign w:val="bottom"/>
          </w:tcPr>
          <w:p>
            <w:pPr>
              <w:jc w:val="center"/>
              <w:ind w:left="3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
        </w:trPr>
        <w:tc>
          <w:tcPr>
            <w:tcW w:w="53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right="380"/>
        <w:spacing w:after="0" w:line="271" w:lineRule="auto"/>
        <w:rPr>
          <w:sz w:val="20"/>
          <w:szCs w:val="20"/>
          <w:color w:val="auto"/>
        </w:rPr>
      </w:pPr>
      <w:r>
        <w:rPr>
          <w:rFonts w:ascii="Arial" w:cs="Arial" w:eastAsia="Arial" w:hAnsi="Arial"/>
          <w:sz w:val="16"/>
          <w:szCs w:val="16"/>
          <w:color w:val="auto"/>
        </w:rPr>
        <w:t>Mortgage insurance only covers losses that are realized after the borrower defaults and title to the property is subsequently transferred, such as after a foreclosure, short-sale, or a deed-in-lieu of foreclosure. Also, mortgage insurance does not protect us from all losses on covered loans. For example, mortgage insurance is not intended to cover property damage from hazards, including natural disasters; and the mortgage insurance policy permits the exclusion of any material loss directly related to property damage.</w:t>
      </w:r>
    </w:p>
    <w:p>
      <w:pPr>
        <w:spacing w:after="0" w:line="33"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In general, we require single-family and multifamily borrowers to obtain and maintain property insurance to cover the risk of damage to their homes or properties resulting from hazards such as fire, wind and, for properties located in Federal Emergency Management Agency-designated Special Flood Hazard Areas, flooding. Since we generally require borrowers to select and obtain hazard insurance policies, our requirements for hazard insurance coverage are verified by the lender or servicer, as applicable. For single-family loans, we require a minimum financial strength rating for non-governmental hazard insurers that must be provided by S&amp;P Global, Demotech, AM Best or KBRA. For multifamily loans, we require a minimum financial strength rating for non-governmental hazard insurers that must be provided by Demotech or AM Best. We do not independently verify the financial condition of these hazard insurers and rely on these rating agencies for their assessment of the financial condition of these insurers.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360680</wp:posOffset>
            </wp:positionV>
            <wp:extent cx="680593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1" w:name="page102"/>
    <w:bookmarkEnd w:id="101"/>
    <w:p>
      <w:pPr>
        <w:jc w:val="right"/>
        <w:ind w:right="8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The table below displays our mortgage insurer counterparties that provided 10% or more of the risk in force mortgage insurance coverage on mortgage loans in our single-family conventional guaranty book of business.</w:t>
      </w:r>
    </w:p>
    <w:p>
      <w:pPr>
        <w:spacing w:after="0" w:line="105"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Percentage of Risk in Force</w:t>
      </w:r>
    </w:p>
    <w:p>
      <w:pPr>
        <w:spacing w:after="0" w:line="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Coverage by Mortgage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4545330</wp:posOffset>
            </wp:positionH>
            <wp:positionV relativeFrom="paragraph">
              <wp:posOffset>1270</wp:posOffset>
            </wp:positionV>
            <wp:extent cx="25869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586990" cy="8255"/>
                    </a:xfrm>
                    <a:prstGeom prst="rect">
                      <a:avLst/>
                    </a:prstGeom>
                    <a:noFill/>
                  </pic:spPr>
                </pic:pic>
              </a:graphicData>
            </a:graphic>
          </wp:anchor>
        </w:drawing>
      </w:r>
    </w:p>
    <w:p>
      <w:pPr>
        <w:spacing w:after="0" w:line="11"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4545330</wp:posOffset>
            </wp:positionH>
            <wp:positionV relativeFrom="paragraph">
              <wp:posOffset>26670</wp:posOffset>
            </wp:positionV>
            <wp:extent cx="25869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586990" cy="8255"/>
                    </a:xfrm>
                    <a:prstGeom prst="rect">
                      <a:avLst/>
                    </a:prstGeom>
                    <a:noFill/>
                  </pic:spPr>
                </pic:pic>
              </a:graphicData>
            </a:graphic>
          </wp:anchor>
        </w:drawing>
      </w:r>
    </w:p>
    <w:p>
      <w:pPr>
        <w:spacing w:after="0" w:line="38" w:lineRule="exact"/>
        <w:rPr>
          <w:sz w:val="20"/>
          <w:szCs w:val="20"/>
          <w:color w:val="auto"/>
        </w:rPr>
      </w:pPr>
    </w:p>
    <w:p>
      <w:pPr>
        <w:ind w:left="7700"/>
        <w:spacing w:after="0"/>
        <w:tabs>
          <w:tab w:leader="none" w:pos="9580" w:val="left"/>
        </w:tabs>
        <w:rPr>
          <w:sz w:val="20"/>
          <w:szCs w:val="20"/>
          <w:color w:val="auto"/>
        </w:rPr>
      </w:pPr>
      <w:r>
        <w:rPr>
          <w:rFonts w:ascii="Arial" w:cs="Arial" w:eastAsia="Arial" w:hAnsi="Arial"/>
          <w:sz w:val="14"/>
          <w:szCs w:val="14"/>
          <w:b w:val="1"/>
          <w:bCs w:val="1"/>
          <w:color w:val="auto"/>
        </w:rPr>
        <w:t>June 30, 2024</w:t>
      </w:r>
      <w:r>
        <w:rPr>
          <w:sz w:val="20"/>
          <w:szCs w:val="20"/>
          <w:color w:val="auto"/>
        </w:rPr>
        <w:tab/>
      </w:r>
      <w:r>
        <w:rPr>
          <w:rFonts w:ascii="Arial" w:cs="Arial" w:eastAsia="Arial" w:hAnsi="Arial"/>
          <w:sz w:val="13"/>
          <w:szCs w:val="13"/>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4545330</wp:posOffset>
            </wp:positionH>
            <wp:positionV relativeFrom="paragraph">
              <wp:posOffset>18415</wp:posOffset>
            </wp:positionV>
            <wp:extent cx="25869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86990" cy="8255"/>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Counterparty:</w:t>
      </w:r>
      <w:r>
        <w:rPr>
          <w:rFonts w:ascii="Arial" w:cs="Arial" w:eastAsia="Arial" w:hAnsi="Arial"/>
          <w:sz w:val="20"/>
          <w:szCs w:val="20"/>
          <w:color w:val="auto"/>
          <w:vertAlign w:val="superscript"/>
        </w:rPr>
        <w:t>(1)</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Mortgage Guaranty Insurance Corp.</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Radian Guaranty, Inc.</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Arch Capital Group Ltd.</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Enact Mortgage Insurance Corp.</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Essent Guaranty, Inc.</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National Mortgage Insurance Corp.</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446151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461510" cy="8255"/>
                    </a:xfrm>
                    <a:prstGeom prst="rect">
                      <a:avLst/>
                    </a:prstGeom>
                    <a:noFill/>
                  </pic:spPr>
                </pic:pic>
              </a:graphicData>
            </a:graphic>
          </wp:anchor>
        </w:drawing>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446151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461510" cy="825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53975</wp:posOffset>
            </wp:positionV>
            <wp:extent cx="446151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461510" cy="8255"/>
                    </a:xfrm>
                    <a:prstGeom prst="rect">
                      <a:avLst/>
                    </a:prstGeom>
                    <a:noFill/>
                  </pic:spPr>
                </pic:pic>
              </a:graphicData>
            </a:graphic>
          </wp:anchor>
        </w:drawing>
      </w:r>
    </w:p>
    <w:p>
      <w:pPr>
        <w:spacing w:after="0" w:line="199" w:lineRule="exact"/>
        <w:rPr>
          <w:sz w:val="20"/>
          <w:szCs w:val="20"/>
          <w:color w:val="auto"/>
        </w:rPr>
      </w:pPr>
    </w:p>
    <w:p>
      <w:pPr>
        <w:ind w:left="200" w:hanging="197"/>
        <w:spacing w:after="0"/>
        <w:tabs>
          <w:tab w:leader="none" w:pos="2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Represents less than 0.5% of the risk in force mortgage insurance coverage.</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300" w:hanging="205"/>
        <w:spacing w:after="0"/>
        <w:tabs>
          <w:tab w:leader="none" w:pos="300"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98"/>
        </w:numPr>
        <w:rPr>
          <w:rFonts w:ascii="Arial" w:cs="Arial" w:eastAsia="Arial" w:hAnsi="Arial"/>
          <w:sz w:val="15"/>
          <w:szCs w:val="15"/>
          <w:b w:val="1"/>
          <w:bCs w:val="1"/>
          <w:color w:val="auto"/>
        </w:rPr>
      </w:pP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99"/>
        </w:numPr>
        <w:rPr>
          <w:rFonts w:ascii="Arial" w:cs="Arial" w:eastAsia="Arial" w:hAnsi="Arial"/>
          <w:sz w:val="15"/>
          <w:szCs w:val="15"/>
          <w:b w:val="1"/>
          <w:bCs w:val="1"/>
          <w:color w:val="auto"/>
        </w:rPr>
      </w:pP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100"/>
        </w:numPr>
        <w:rPr>
          <w:rFonts w:ascii="Arial" w:cs="Arial" w:eastAsia="Arial" w:hAnsi="Arial"/>
          <w:sz w:val="15"/>
          <w:szCs w:val="15"/>
          <w:b w:val="1"/>
          <w:bCs w:val="1"/>
          <w:color w:val="auto"/>
        </w:rPr>
      </w:pP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101"/>
        </w:numPr>
        <w:rPr>
          <w:rFonts w:ascii="Arial" w:cs="Arial" w:eastAsia="Arial" w:hAnsi="Arial"/>
          <w:sz w:val="15"/>
          <w:szCs w:val="15"/>
          <w:b w:val="1"/>
          <w:bCs w:val="1"/>
          <w:color w:val="auto"/>
        </w:rPr>
      </w:pP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102"/>
        </w:numPr>
        <w:rPr>
          <w:rFonts w:ascii="Arial" w:cs="Arial" w:eastAsia="Arial" w:hAnsi="Arial"/>
          <w:sz w:val="15"/>
          <w:szCs w:val="15"/>
          <w:b w:val="1"/>
          <w:bCs w:val="1"/>
          <w:color w:val="auto"/>
        </w:rPr>
      </w:pPr>
    </w:p>
    <w:p>
      <w:pPr>
        <w:spacing w:after="0" w:line="59"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22225</wp:posOffset>
            </wp:positionV>
            <wp:extent cx="12522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22225</wp:posOffset>
            </wp:positionV>
            <wp:extent cx="12522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52220" cy="8255"/>
                    </a:xfrm>
                    <a:prstGeom prst="rect">
                      <a:avLst/>
                    </a:prstGeom>
                    <a:noFill/>
                  </pic:spPr>
                </pic:pic>
              </a:graphicData>
            </a:graphic>
          </wp:anchor>
        </w:drawing>
        <w:drawing>
          <wp:anchor simplePos="0" relativeHeight="251657728" behindDoc="1" locked="0" layoutInCell="0" allowOverlap="1">
            <wp:simplePos x="0" y="0"/>
            <wp:positionH relativeFrom="column">
              <wp:posOffset>-953135</wp:posOffset>
            </wp:positionH>
            <wp:positionV relativeFrom="paragraph">
              <wp:posOffset>46990</wp:posOffset>
            </wp:positionV>
            <wp:extent cx="12522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left="320" w:hanging="224"/>
        <w:spacing w:after="0"/>
        <w:tabs>
          <w:tab w:leader="none" w:pos="32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spacing w:after="0"/>
        <w:tabs>
          <w:tab w:leader="none" w:pos="0" w:val="left"/>
        </w:tabs>
        <w:numPr>
          <w:ilvl w:val="0"/>
          <w:numId w:val="104"/>
        </w:numPr>
        <w:rPr>
          <w:rFonts w:ascii="Arial" w:cs="Arial" w:eastAsia="Arial" w:hAnsi="Arial"/>
          <w:sz w:val="15"/>
          <w:szCs w:val="15"/>
          <w:color w:val="auto"/>
        </w:rPr>
      </w:pPr>
    </w:p>
    <w:p>
      <w:pPr>
        <w:spacing w:after="0" w:line="59" w:lineRule="exact"/>
        <w:rPr>
          <w:rFonts w:ascii="Arial" w:cs="Arial" w:eastAsia="Arial" w:hAnsi="Arial"/>
          <w:sz w:val="15"/>
          <w:szCs w:val="15"/>
          <w:color w:val="auto"/>
        </w:rPr>
      </w:pPr>
    </w:p>
    <w:p>
      <w:pPr>
        <w:spacing w:after="0"/>
        <w:tabs>
          <w:tab w:leader="none" w:pos="0" w:val="left"/>
        </w:tabs>
        <w:numPr>
          <w:ilvl w:val="0"/>
          <w:numId w:val="105"/>
        </w:numPr>
        <w:rPr>
          <w:rFonts w:ascii="Arial" w:cs="Arial" w:eastAsia="Arial" w:hAnsi="Arial"/>
          <w:sz w:val="15"/>
          <w:szCs w:val="15"/>
          <w:color w:val="auto"/>
        </w:rPr>
      </w:pPr>
    </w:p>
    <w:p>
      <w:pPr>
        <w:spacing w:after="0" w:line="59" w:lineRule="exact"/>
        <w:rPr>
          <w:rFonts w:ascii="Arial" w:cs="Arial" w:eastAsia="Arial" w:hAnsi="Arial"/>
          <w:sz w:val="15"/>
          <w:szCs w:val="15"/>
          <w:color w:val="auto"/>
        </w:rPr>
      </w:pPr>
    </w:p>
    <w:p>
      <w:pPr>
        <w:spacing w:after="0"/>
        <w:tabs>
          <w:tab w:leader="none" w:pos="0" w:val="left"/>
        </w:tabs>
        <w:numPr>
          <w:ilvl w:val="0"/>
          <w:numId w:val="106"/>
        </w:numPr>
        <w:rPr>
          <w:rFonts w:ascii="Arial" w:cs="Arial" w:eastAsia="Arial" w:hAnsi="Arial"/>
          <w:sz w:val="15"/>
          <w:szCs w:val="15"/>
          <w:color w:val="auto"/>
        </w:rPr>
      </w:pPr>
    </w:p>
    <w:p>
      <w:pPr>
        <w:spacing w:after="0" w:line="59" w:lineRule="exact"/>
        <w:rPr>
          <w:rFonts w:ascii="Arial" w:cs="Arial" w:eastAsia="Arial" w:hAnsi="Arial"/>
          <w:sz w:val="15"/>
          <w:szCs w:val="15"/>
          <w:color w:val="auto"/>
        </w:rPr>
      </w:pPr>
    </w:p>
    <w:p>
      <w:pPr>
        <w:spacing w:after="0"/>
        <w:tabs>
          <w:tab w:leader="none" w:pos="0" w:val="left"/>
        </w:tabs>
        <w:numPr>
          <w:ilvl w:val="0"/>
          <w:numId w:val="107"/>
        </w:numPr>
        <w:rPr>
          <w:rFonts w:ascii="Arial" w:cs="Arial" w:eastAsia="Arial" w:hAnsi="Arial"/>
          <w:sz w:val="15"/>
          <w:szCs w:val="15"/>
          <w:color w:val="auto"/>
        </w:rPr>
      </w:pPr>
    </w:p>
    <w:p>
      <w:pPr>
        <w:spacing w:after="0" w:line="59" w:lineRule="exact"/>
        <w:rPr>
          <w:rFonts w:ascii="Arial" w:cs="Arial" w:eastAsia="Arial" w:hAnsi="Arial"/>
          <w:sz w:val="15"/>
          <w:szCs w:val="15"/>
          <w:color w:val="auto"/>
        </w:rPr>
      </w:pPr>
    </w:p>
    <w:p>
      <w:pPr>
        <w:spacing w:after="0"/>
        <w:tabs>
          <w:tab w:leader="none" w:pos="0" w:val="left"/>
        </w:tabs>
        <w:numPr>
          <w:ilvl w:val="0"/>
          <w:numId w:val="108"/>
        </w:numPr>
        <w:rPr>
          <w:rFonts w:ascii="Arial" w:cs="Arial" w:eastAsia="Arial" w:hAnsi="Arial"/>
          <w:sz w:val="15"/>
          <w:szCs w:val="15"/>
          <w:color w:val="auto"/>
        </w:rPr>
      </w:pPr>
    </w:p>
    <w:p>
      <w:pPr>
        <w:spacing w:after="0" w:line="59" w:lineRule="exact"/>
        <w:rPr>
          <w:rFonts w:ascii="Arial" w:cs="Arial" w:eastAsia="Arial" w:hAnsi="Arial"/>
          <w:sz w:val="15"/>
          <w:szCs w:val="15"/>
          <w:color w:val="auto"/>
        </w:rPr>
      </w:pPr>
    </w:p>
    <w:p>
      <w:pPr>
        <w:ind w:left="280"/>
        <w:spacing w:after="0"/>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20955</wp:posOffset>
            </wp:positionV>
            <wp:extent cx="126873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20955</wp:posOffset>
            </wp:positionV>
            <wp:extent cx="126873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68730" cy="8255"/>
                    </a:xfrm>
                    <a:prstGeom prst="rect">
                      <a:avLst/>
                    </a:prstGeom>
                    <a:noFill/>
                  </pic:spPr>
                </pic:pic>
              </a:graphicData>
            </a:graphic>
          </wp:anchor>
        </w:drawing>
        <w:drawing>
          <wp:anchor simplePos="0" relativeHeight="251657728" behindDoc="1" locked="0" layoutInCell="0" allowOverlap="1">
            <wp:simplePos x="0" y="0"/>
            <wp:positionH relativeFrom="column">
              <wp:posOffset>-968375</wp:posOffset>
            </wp:positionH>
            <wp:positionV relativeFrom="paragraph">
              <wp:posOffset>45720</wp:posOffset>
            </wp:positionV>
            <wp:extent cx="126873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385" w:lineRule="exact"/>
        <w:rPr>
          <w:sz w:val="20"/>
          <w:szCs w:val="20"/>
          <w:color w:val="auto"/>
        </w:rPr>
      </w:pPr>
    </w:p>
    <w:p>
      <w:pPr>
        <w:sectPr>
          <w:pgSz w:w="11900" w:h="16838" w:orient="portrait"/>
          <w:cols w:equalWidth="0" w:num="3">
            <w:col w:w="7940" w:space="720"/>
            <w:col w:w="1380" w:space="720"/>
            <w:col w:w="460"/>
          </w:cols>
          <w:pgMar w:left="320" w:top="248" w:right="359" w:bottom="1440" w:gutter="0" w:footer="0" w:header="0"/>
          <w:type w:val="continuous"/>
        </w:sectPr>
      </w:pPr>
    </w:p>
    <w:p>
      <w:pPr>
        <w:ind w:left="220" w:hanging="217"/>
        <w:spacing w:after="0"/>
        <w:tabs>
          <w:tab w:leader="none" w:pos="220" w:val="left"/>
        </w:tabs>
        <w:numPr>
          <w:ilvl w:val="0"/>
          <w:numId w:val="109"/>
        </w:numPr>
        <w:rPr>
          <w:rFonts w:ascii="Arial" w:cs="Arial" w:eastAsia="Arial" w:hAnsi="Arial"/>
          <w:sz w:val="18"/>
          <w:szCs w:val="18"/>
          <w:color w:val="auto"/>
          <w:vertAlign w:val="superscript"/>
        </w:rPr>
      </w:pPr>
      <w:r>
        <w:rPr>
          <w:rFonts w:ascii="Arial" w:cs="Arial" w:eastAsia="Arial" w:hAnsi="Arial"/>
          <w:sz w:val="14"/>
          <w:szCs w:val="14"/>
          <w:color w:val="auto"/>
        </w:rPr>
        <w:t>Insurance coverage amounts provided for each counterparty may include coverage provided by affiliates and subsidiaries of the counterparty.</w:t>
      </w:r>
    </w:p>
    <w:p>
      <w:pPr>
        <w:spacing w:after="0" w:line="54"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We have counterparty credit risk relating to the potential insolvency of, or non-performance by, monoline mortgage insurers that insure single-family loans we purchase or guarantee. There is risk that these counterparties may fail to fulfill their obligations to pay our claims under insurance policies. On at least a quarterly basis, we assess our mortgage insurer counterparties’ respective abilities to fulfill their obligations to us. Our assessment includes financial reviews and analyses of the insurers’ portfolios and capital adequacy. If we determine that it is probable that we will not collect all of our claims from one or more of our mortgage insurer counterparties, it could increase our loss reserves, which could adversely affect our results of operations, liquidity, financial condition and net worth.</w:t>
      </w:r>
    </w:p>
    <w:p>
      <w:pPr>
        <w:spacing w:after="0" w:line="4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When we estimate the credit losses that are inherent in our mortgage loans and under the terms of our guaranty obligations, we also consider the recoveries that we expect to receive from primary mortgage insurance, as mortgage insurance recoveries reduce the severity of the loss associated with defaulted loans if the borrower defaults and title to the property is subsequently transferred. Mortgage insurance does not cover credit losses that result from a reduction in mortgage interest paid by the borrower in connection with a loan modification, forbearance of principal, or forbearance of scheduled loan payments. We evaluate the financial condition of our mortgage insurer counterparties and adjust the contractually due recovery amounts to ensure that expected credit losses as of the balance sheet date are included in our loss reserve estimate. As a result, if our assessment of one or more of our mortgage insurer counterparties’ ability to fulfill their respective obligations to us worsens, it could increase our loss reserves. As of June 30, 2024 and December 31, 2023, our estimated benefit from mortgage insurance, which is based on estimated credit losses as of period end, reduced our loss reserves by $1.0 billion and $1.2 billion, respectively.</w:t>
      </w:r>
    </w:p>
    <w:p>
      <w:pPr>
        <w:spacing w:after="0" w:line="5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As of June 30, 2024 and December 31, 2023, we had outstanding receivables of $462 million and $471 million, respectively, recorded in “Other assets” in our condensed consolidated balance sheets related to amounts claimed on insured, defaulted loans excluding government-insured loans. As of June 30, 2024 and December 31, 2023, we assessed these outstanding receivables for collectability, and established a valuation allowance of $401 million and $417 million, respectively.</w:t>
      </w:r>
    </w:p>
    <w:p>
      <w:pPr>
        <w:spacing w:after="0" w:line="35"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i w:val="1"/>
          <w:iCs w:val="1"/>
          <w:color w:val="auto"/>
        </w:rPr>
        <w:t xml:space="preserve">Mortgage Servicers and Sellers. </w:t>
      </w:r>
      <w:r>
        <w:rPr>
          <w:rFonts w:ascii="Arial" w:cs="Arial" w:eastAsia="Arial" w:hAnsi="Arial"/>
          <w:sz w:val="16"/>
          <w:szCs w:val="16"/>
          <w:color w:val="auto"/>
        </w:rPr>
        <w:t>Mortgage servicers collect mortgage and escrow payments from borrowers, pay taxes and insurance costs from escrow</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monitor and report delinquencies, and perform other required activities, including loss mitigation, on our behalf. Our mortgage servicers and sellers may also be obligated to repurchase loans or foreclosed properties, reimburse us for losses or provide other remedies under certain circumstances, such as if it is determined that the mortgage loan did not meet our underwriting or eligibility requirements, if certain loan representations and warranties are violated or if mortgage insurers rescind coverage. Our representation and warranty framework does not require repurchase for loans that have breaches of certain selling representations and warranties if they have met specified criteria for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367030</wp:posOffset>
            </wp:positionV>
            <wp:extent cx="680593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type w:val="continuous"/>
        </w:sectPr>
      </w:pPr>
    </w:p>
    <w:bookmarkStart w:id="102" w:name="page103"/>
    <w:bookmarkEnd w:id="102"/>
    <w:p>
      <w:pPr>
        <w:ind w:left="5820"/>
        <w:spacing w:after="0"/>
        <w:rPr>
          <w:sz w:val="20"/>
          <w:szCs w:val="20"/>
          <w:color w:val="auto"/>
        </w:rPr>
      </w:pPr>
      <w:r>
        <w:rPr>
          <w:rFonts w:ascii="Arial" w:cs="Arial" w:eastAsia="Arial" w:hAnsi="Arial"/>
          <w:sz w:val="13"/>
          <w:szCs w:val="13"/>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business with mortgage servicers is concentrated. The table below displays the percentage of our single-family conventional guaranty book of business serviced by our top five depository single-family mortgage servicers and top five non-depository single-family mortgage servicers (i.e., servicers that are not insured depository institutions) based on unpaid principal balance. There were no servicers that serviced 10% or more of our single-family guaranty book of business as of June 30, 2024 or December 31, 2023.</w:t>
      </w:r>
    </w:p>
    <w:p>
      <w:pPr>
        <w:spacing w:after="0" w:line="123"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Percentage of Single-Family</w:t>
      </w:r>
    </w:p>
    <w:p>
      <w:pPr>
        <w:spacing w:after="0" w:line="14"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Conventional</w:t>
      </w:r>
    </w:p>
    <w:p>
      <w:pPr>
        <w:jc w:val="center"/>
        <w:ind w:left="7300"/>
        <w:spacing w:after="0"/>
        <w:rPr>
          <w:sz w:val="20"/>
          <w:szCs w:val="20"/>
          <w:color w:val="auto"/>
        </w:rPr>
      </w:pPr>
      <w:r>
        <w:rPr>
          <w:rFonts w:ascii="Arial" w:cs="Arial" w:eastAsia="Arial" w:hAnsi="Arial"/>
          <w:sz w:val="14"/>
          <w:szCs w:val="14"/>
          <w:b w:val="1"/>
          <w:bCs w:val="1"/>
          <w:color w:val="auto"/>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17780</wp:posOffset>
            </wp:positionV>
            <wp:extent cx="24968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37"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26670</wp:posOffset>
            </wp:positionV>
            <wp:extent cx="249682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38" w:lineRule="exact"/>
        <w:rPr>
          <w:sz w:val="20"/>
          <w:szCs w:val="20"/>
          <w:color w:val="auto"/>
        </w:rPr>
      </w:pPr>
    </w:p>
    <w:p>
      <w:pPr>
        <w:ind w:left="7820"/>
        <w:spacing w:after="0"/>
        <w:tabs>
          <w:tab w:leader="none" w:pos="9640" w:val="left"/>
        </w:tabs>
        <w:rPr>
          <w:sz w:val="20"/>
          <w:szCs w:val="20"/>
          <w:color w:val="auto"/>
        </w:rPr>
      </w:pPr>
      <w:r>
        <w:rPr>
          <w:rFonts w:ascii="Arial" w:cs="Arial" w:eastAsia="Arial" w:hAnsi="Arial"/>
          <w:sz w:val="14"/>
          <w:szCs w:val="14"/>
          <w:b w:val="1"/>
          <w:bCs w:val="1"/>
          <w:color w:val="auto"/>
        </w:rPr>
        <w:t>June 30, 2024</w:t>
      </w:r>
      <w:r>
        <w:rPr>
          <w:sz w:val="20"/>
          <w:szCs w:val="20"/>
          <w:color w:val="auto"/>
        </w:rPr>
        <w:tab/>
      </w:r>
      <w:r>
        <w:rPr>
          <w:rFonts w:ascii="Arial" w:cs="Arial" w:eastAsia="Arial" w:hAnsi="Arial"/>
          <w:sz w:val="13"/>
          <w:szCs w:val="13"/>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18415</wp:posOffset>
            </wp:positionV>
            <wp:extent cx="24968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depository servicers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non-depository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57644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576445" cy="8255"/>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57644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5764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457644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5764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09" w:hanging="209"/>
        <w:spacing w:after="0"/>
        <w:tabs>
          <w:tab w:leader="none" w:pos="209"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111"/>
        </w:numPr>
        <w:rPr>
          <w:rFonts w:ascii="Arial" w:cs="Arial" w:eastAsia="Arial" w:hAnsi="Arial"/>
          <w:sz w:val="15"/>
          <w:szCs w:val="15"/>
          <w:b w:val="1"/>
          <w:bCs w:val="1"/>
          <w:color w:val="auto"/>
        </w:rPr>
      </w:pPr>
    </w:p>
    <w:p>
      <w:pPr>
        <w:spacing w:after="0" w:line="72" w:lineRule="exact"/>
        <w:rPr>
          <w:rFonts w:ascii="Arial" w:cs="Arial" w:eastAsia="Arial" w:hAnsi="Arial"/>
          <w:sz w:val="15"/>
          <w:szCs w:val="15"/>
          <w:b w:val="1"/>
          <w:bCs w:val="1"/>
          <w:color w:val="auto"/>
        </w:rPr>
      </w:pPr>
    </w:p>
    <w:p>
      <w:pPr>
        <w:ind w:left="209" w:hanging="209"/>
        <w:spacing w:after="0"/>
        <w:tabs>
          <w:tab w:leader="none" w:pos="209"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22225</wp:posOffset>
            </wp:positionV>
            <wp:extent cx="1211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11580"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46990</wp:posOffset>
            </wp:positionV>
            <wp:extent cx="1211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11580"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-132715</wp:posOffset>
            </wp:positionV>
            <wp:extent cx="1211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225" w:hanging="225"/>
        <w:spacing w:after="0"/>
        <w:tabs>
          <w:tab w:leader="none" w:pos="225" w:val="left"/>
        </w:tabs>
        <w:numPr>
          <w:ilvl w:val="0"/>
          <w:numId w:val="113"/>
        </w:numPr>
        <w:rPr>
          <w:rFonts w:ascii="Arial" w:cs="Arial" w:eastAsia="Arial" w:hAnsi="Arial"/>
          <w:sz w:val="13"/>
          <w:szCs w:val="13"/>
          <w:color w:val="auto"/>
        </w:rPr>
      </w:pP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spacing w:after="0"/>
        <w:tabs>
          <w:tab w:leader="none" w:pos="0" w:val="left"/>
        </w:tabs>
        <w:numPr>
          <w:ilvl w:val="0"/>
          <w:numId w:val="114"/>
        </w:numPr>
        <w:rPr>
          <w:rFonts w:ascii="Arial" w:cs="Arial" w:eastAsia="Arial" w:hAnsi="Arial"/>
          <w:sz w:val="15"/>
          <w:szCs w:val="15"/>
          <w:color w:val="auto"/>
        </w:rPr>
      </w:pPr>
    </w:p>
    <w:p>
      <w:pPr>
        <w:spacing w:after="0" w:line="72" w:lineRule="exact"/>
        <w:rPr>
          <w:rFonts w:ascii="Arial" w:cs="Arial" w:eastAsia="Arial" w:hAnsi="Arial"/>
          <w:sz w:val="15"/>
          <w:szCs w:val="15"/>
          <w:color w:val="auto"/>
        </w:rPr>
      </w:pPr>
    </w:p>
    <w:p>
      <w:pPr>
        <w:ind w:left="225" w:hanging="225"/>
        <w:spacing w:after="0"/>
        <w:tabs>
          <w:tab w:leader="none" w:pos="225" w:val="left"/>
        </w:tabs>
        <w:numPr>
          <w:ilvl w:val="0"/>
          <w:numId w:val="115"/>
        </w:numPr>
        <w:rPr>
          <w:rFonts w:ascii="Arial" w:cs="Arial" w:eastAsia="Arial" w:hAnsi="Arial"/>
          <w:sz w:val="13"/>
          <w:szCs w:val="13"/>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35560</wp:posOffset>
            </wp:positionV>
            <wp:extent cx="12198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60325</wp:posOffset>
            </wp:positionV>
            <wp:extent cx="12198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-119380</wp:posOffset>
            </wp:positionV>
            <wp:extent cx="12198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8131" w:space="720"/>
            <w:col w:w="1304" w:space="720"/>
            <w:col w:w="365"/>
          </w:cols>
          <w:pgMar w:left="320" w:top="248" w:right="339" w:bottom="1440" w:gutter="0" w:footer="0" w:header="0"/>
          <w:type w:val="continuous"/>
        </w:sectPr>
      </w:pPr>
    </w:p>
    <w:p>
      <w:pPr>
        <w:spacing w:after="0" w:line="19"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As of June 30, 2024, 43% of our single-family conventional guaranty book of business was serviced by depository servicers, and 57% of our single-family conventional guaranty book of business was serviced by non-depository servicers. As of December 31, 2023, 44% of our single-family conventional guaranty book of business was serviced by depository servicers, and 56% of our single-family conventional guaranty book of business was serviced by non-depository servicers.</w:t>
      </w:r>
    </w:p>
    <w:p>
      <w:pPr>
        <w:spacing w:after="0" w:line="2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table below displays the percentage of our multifamily guaranty book of business serviced by our top five depository multifamily mortgage servicers and top five non-depository multifamily mortgage servicers. As of June 30, 2024, two servicers serviced 10% or more of our multifamily guaranty book of business, Walker &amp; Dunlop, Inc. and Wells Fargo Bank, N.A. (together with its affiliates). As of June 30, 2024 and December 31, 2023, Walker &amp; Dunlop, Inc. and Wells Fargo Bank, N.A. (together with its affiliates) serviced 13% and 10%, respectively, of our multifamily guaranty book of business based on unpaid principal balance. Walker &amp; Dunlop, Inc. is a non-depository servicer and Wells Fargo Bank, N.A. is a depository servicer.</w:t>
      </w:r>
    </w:p>
    <w:p>
      <w:pPr>
        <w:spacing w:after="0" w:line="24"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Percentage of Multifamily</w:t>
      </w:r>
    </w:p>
    <w:p>
      <w:pPr>
        <w:spacing w:after="0" w:line="2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17780</wp:posOffset>
            </wp:positionV>
            <wp:extent cx="249682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37"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26670</wp:posOffset>
            </wp:positionV>
            <wp:extent cx="249682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38" w:lineRule="exact"/>
        <w:rPr>
          <w:sz w:val="20"/>
          <w:szCs w:val="20"/>
          <w:color w:val="auto"/>
        </w:rPr>
      </w:pPr>
    </w:p>
    <w:p>
      <w:pPr>
        <w:ind w:left="7820"/>
        <w:spacing w:after="0"/>
        <w:tabs>
          <w:tab w:leader="none" w:pos="9640" w:val="left"/>
        </w:tabs>
        <w:rPr>
          <w:sz w:val="20"/>
          <w:szCs w:val="20"/>
          <w:color w:val="auto"/>
        </w:rPr>
      </w:pPr>
      <w:r>
        <w:rPr>
          <w:rFonts w:ascii="Arial" w:cs="Arial" w:eastAsia="Arial" w:hAnsi="Arial"/>
          <w:sz w:val="14"/>
          <w:szCs w:val="14"/>
          <w:b w:val="1"/>
          <w:bCs w:val="1"/>
          <w:color w:val="auto"/>
        </w:rPr>
        <w:t>June 30, 2024</w:t>
      </w:r>
      <w:r>
        <w:rPr>
          <w:sz w:val="20"/>
          <w:szCs w:val="20"/>
          <w:color w:val="auto"/>
        </w:rPr>
        <w:tab/>
      </w:r>
      <w:r>
        <w:rPr>
          <w:rFonts w:ascii="Arial" w:cs="Arial" w:eastAsia="Arial" w:hAnsi="Arial"/>
          <w:sz w:val="13"/>
          <w:szCs w:val="13"/>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18415</wp:posOffset>
            </wp:positionV>
            <wp:extent cx="24968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depository servicers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non-depository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57644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576445" cy="8255"/>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57644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5764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457644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5764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09" w:hanging="209"/>
        <w:spacing w:after="0"/>
        <w:tabs>
          <w:tab w:leader="none" w:pos="209"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117"/>
        </w:numPr>
        <w:rPr>
          <w:rFonts w:ascii="Arial" w:cs="Arial" w:eastAsia="Arial" w:hAnsi="Arial"/>
          <w:sz w:val="15"/>
          <w:szCs w:val="15"/>
          <w:b w:val="1"/>
          <w:bCs w:val="1"/>
          <w:color w:val="auto"/>
        </w:rPr>
      </w:pPr>
    </w:p>
    <w:p>
      <w:pPr>
        <w:spacing w:after="0" w:line="72" w:lineRule="exact"/>
        <w:rPr>
          <w:rFonts w:ascii="Arial" w:cs="Arial" w:eastAsia="Arial" w:hAnsi="Arial"/>
          <w:sz w:val="15"/>
          <w:szCs w:val="15"/>
          <w:b w:val="1"/>
          <w:bCs w:val="1"/>
          <w:color w:val="auto"/>
        </w:rPr>
      </w:pPr>
    </w:p>
    <w:p>
      <w:pPr>
        <w:ind w:left="209" w:hanging="209"/>
        <w:spacing w:after="0"/>
        <w:tabs>
          <w:tab w:leader="none" w:pos="209" w:val="left"/>
        </w:tabs>
        <w:numPr>
          <w:ilvl w:val="0"/>
          <w:numId w:val="118"/>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22225</wp:posOffset>
            </wp:positionV>
            <wp:extent cx="1211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11580"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46990</wp:posOffset>
            </wp:positionV>
            <wp:extent cx="1211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11580"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-132715</wp:posOffset>
            </wp:positionV>
            <wp:extent cx="1211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225" w:hanging="225"/>
        <w:spacing w:after="0"/>
        <w:tabs>
          <w:tab w:leader="none" w:pos="225" w:val="left"/>
        </w:tabs>
        <w:numPr>
          <w:ilvl w:val="0"/>
          <w:numId w:val="119"/>
        </w:numPr>
        <w:rPr>
          <w:rFonts w:ascii="Arial" w:cs="Arial" w:eastAsia="Arial" w:hAnsi="Arial"/>
          <w:sz w:val="13"/>
          <w:szCs w:val="13"/>
          <w:color w:val="auto"/>
        </w:rPr>
      </w:pP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spacing w:after="0"/>
        <w:tabs>
          <w:tab w:leader="none" w:pos="0" w:val="left"/>
        </w:tabs>
        <w:numPr>
          <w:ilvl w:val="0"/>
          <w:numId w:val="120"/>
        </w:numPr>
        <w:rPr>
          <w:rFonts w:ascii="Arial" w:cs="Arial" w:eastAsia="Arial" w:hAnsi="Arial"/>
          <w:sz w:val="15"/>
          <w:szCs w:val="15"/>
          <w:color w:val="auto"/>
        </w:rPr>
      </w:pPr>
    </w:p>
    <w:p>
      <w:pPr>
        <w:spacing w:after="0" w:line="72" w:lineRule="exact"/>
        <w:rPr>
          <w:rFonts w:ascii="Arial" w:cs="Arial" w:eastAsia="Arial" w:hAnsi="Arial"/>
          <w:sz w:val="15"/>
          <w:szCs w:val="15"/>
          <w:color w:val="auto"/>
        </w:rPr>
      </w:pPr>
    </w:p>
    <w:p>
      <w:pPr>
        <w:ind w:left="225" w:hanging="225"/>
        <w:spacing w:after="0"/>
        <w:tabs>
          <w:tab w:leader="none" w:pos="225" w:val="left"/>
        </w:tabs>
        <w:numPr>
          <w:ilvl w:val="0"/>
          <w:numId w:val="121"/>
        </w:numPr>
        <w:rPr>
          <w:rFonts w:ascii="Arial" w:cs="Arial" w:eastAsia="Arial" w:hAnsi="Arial"/>
          <w:sz w:val="13"/>
          <w:szCs w:val="13"/>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35560</wp:posOffset>
            </wp:positionV>
            <wp:extent cx="12198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60325</wp:posOffset>
            </wp:positionV>
            <wp:extent cx="12198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-119380</wp:posOffset>
            </wp:positionV>
            <wp:extent cx="12198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8131" w:space="720"/>
            <w:col w:w="1304" w:space="720"/>
            <w:col w:w="365"/>
          </w:cols>
          <w:pgMar w:left="320" w:top="248" w:right="339" w:bottom="1440" w:gutter="0" w:footer="0" w:header="0"/>
          <w:type w:val="continuous"/>
        </w:sectPr>
      </w:pPr>
    </w:p>
    <w:p>
      <w:pPr>
        <w:spacing w:after="0" w:line="32"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As of June 30, 2024 and December 31, 2023, 31% of our multifamily guaranty book of business was serviced by depository servicers and 69% of our multifamily guaranty book of business was serviced by non-depository servicers.</w:t>
      </w:r>
    </w:p>
    <w:p>
      <w:pPr>
        <w:spacing w:after="0" w:line="1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Compared with depository financial institutions, our non-depository servicers pose additional risks because they may not have the same financial strength or operational capacity, or be subject to the same level of regulatory oversight as depository financial institutions.</w:t>
      </w:r>
    </w:p>
    <w:p>
      <w:pPr>
        <w:spacing w:after="0" w:line="1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i w:val="1"/>
          <w:iCs w:val="1"/>
          <w:color w:val="auto"/>
        </w:rPr>
        <w:t xml:space="preserve">Derivatives Counterparties. </w:t>
      </w:r>
      <w:r>
        <w:rPr>
          <w:rFonts w:ascii="Arial" w:cs="Arial" w:eastAsia="Arial" w:hAnsi="Arial"/>
          <w:sz w:val="16"/>
          <w:szCs w:val="16"/>
          <w:color w:val="auto"/>
        </w:rPr>
        <w:t>For information on credit risk associated with our derivative transactions and repurchase agreements see “Note 9,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and “Note 12,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350520</wp:posOffset>
            </wp:positionV>
            <wp:extent cx="680593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03" w:name="page104"/>
    <w:bookmarkEnd w:id="103"/>
    <w:p>
      <w:pPr>
        <w:ind w:left="6260"/>
        <w:spacing w:after="0"/>
        <w:rPr>
          <w:sz w:val="20"/>
          <w:szCs w:val="20"/>
          <w:color w:val="auto"/>
        </w:rPr>
      </w:pPr>
      <w:r>
        <w:rPr>
          <w:rFonts w:ascii="Arial" w:cs="Arial" w:eastAsia="Arial" w:hAnsi="Arial"/>
          <w:sz w:val="13"/>
          <w:szCs w:val="13"/>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12. Netting Arrangements</w:t>
      </w:r>
    </w:p>
    <w:p>
      <w:pPr>
        <w:spacing w:after="0" w:line="8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use master netting arrangements, which allow us to offset certain financial instruments and collateral with the same counterparty, to minimize counterparty credit exposure. The tables below display information related to derivatives, securities purchased under agreements to resell, and securities sold under agreements to repurchase, which are subject to an enforceable master netting arrangement or similar agreement that are either offset or not offset in our condensed consolidated balance sheets.</w:t>
      </w:r>
    </w:p>
    <w:p>
      <w:pPr>
        <w:spacing w:after="0" w:line="99"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900" w:type="dxa"/>
            <w:vAlign w:val="bottom"/>
            <w:tcBorders>
              <w:bottom w:val="single" w:sz="8" w:color="2C6937"/>
            </w:tcBorders>
            <w:gridSpan w:val="10"/>
          </w:tcPr>
          <w:p>
            <w:pPr>
              <w:jc w:val="center"/>
              <w:ind w:right="140"/>
              <w:spacing w:after="0"/>
              <w:rPr>
                <w:sz w:val="20"/>
                <w:szCs w:val="20"/>
                <w:color w:val="auto"/>
              </w:rPr>
            </w:pPr>
            <w:r>
              <w:rPr>
                <w:rFonts w:ascii="Arial" w:cs="Arial" w:eastAsia="Arial" w:hAnsi="Arial"/>
                <w:sz w:val="14"/>
                <w:szCs w:val="14"/>
                <w:b w:val="1"/>
                <w:bCs w:val="1"/>
                <w:color w:val="auto"/>
                <w:w w:val="98"/>
              </w:rPr>
              <w:t>As of June 30, 2024</w:t>
            </w:r>
          </w:p>
        </w:tc>
        <w:tc>
          <w:tcPr>
            <w:tcW w:w="12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560" w:type="dxa"/>
            <w:vAlign w:val="bottom"/>
            <w:tcBorders>
              <w:bottom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8"/>
              </w:rPr>
              <w:t>Net Amount</w:t>
            </w:r>
          </w:p>
        </w:tc>
        <w:tc>
          <w:tcPr>
            <w:tcW w:w="20" w:type="dxa"/>
            <w:vAlign w:val="bottom"/>
          </w:tcPr>
          <w:p>
            <w:pPr>
              <w:spacing w:after="0"/>
              <w:rPr>
                <w:sz w:val="19"/>
                <w:szCs w:val="19"/>
                <w:color w:val="auto"/>
              </w:rPr>
            </w:pPr>
          </w:p>
        </w:tc>
        <w:tc>
          <w:tcPr>
            <w:tcW w:w="2760" w:type="dxa"/>
            <w:vAlign w:val="bottom"/>
            <w:gridSpan w:val="12"/>
            <w:vMerge w:val="restart"/>
          </w:tcPr>
          <w:p>
            <w:pPr>
              <w:jc w:val="center"/>
              <w:ind w:right="100"/>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3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Presented in our</w:t>
            </w:r>
          </w:p>
        </w:tc>
        <w:tc>
          <w:tcPr>
            <w:tcW w:w="20" w:type="dxa"/>
            <w:vAlign w:val="bottom"/>
          </w:tcPr>
          <w:p>
            <w:pPr>
              <w:spacing w:after="0"/>
              <w:rPr>
                <w:sz w:val="7"/>
                <w:szCs w:val="7"/>
                <w:color w:val="auto"/>
              </w:rPr>
            </w:pPr>
          </w:p>
        </w:tc>
        <w:tc>
          <w:tcPr>
            <w:tcW w:w="2760" w:type="dxa"/>
            <w:vAlign w:val="bottom"/>
            <w:gridSpan w:val="12"/>
            <w:vMerge w:val="continue"/>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3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9"/>
            <w:vMerge w:val="restart"/>
          </w:tcPr>
          <w:p>
            <w:pPr>
              <w:jc w:val="center"/>
              <w:ind w:right="460"/>
              <w:spacing w:after="0"/>
              <w:rPr>
                <w:sz w:val="20"/>
                <w:szCs w:val="20"/>
                <w:color w:val="auto"/>
              </w:rPr>
            </w:pPr>
            <w:r>
              <w:rPr>
                <w:rFonts w:ascii="Arial" w:cs="Arial" w:eastAsia="Arial" w:hAnsi="Arial"/>
                <w:sz w:val="14"/>
                <w:szCs w:val="14"/>
                <w:b w:val="1"/>
                <w:bCs w:val="1"/>
                <w:color w:val="auto"/>
                <w:w w:val="97"/>
              </w:rPr>
              <w:t>Consolidated Balance Sheets</w:t>
            </w: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right"/>
              <w:ind w:right="240"/>
              <w:spacing w:after="0" w:line="131"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3"/>
            <w:vMerge w:val="restart"/>
          </w:tcPr>
          <w:p>
            <w:pPr>
              <w:jc w:val="center"/>
              <w:ind w:right="330"/>
              <w:spacing w:after="0" w:line="131" w:lineRule="exact"/>
              <w:rPr>
                <w:sz w:val="20"/>
                <w:szCs w:val="20"/>
                <w:color w:val="auto"/>
              </w:rPr>
            </w:pPr>
            <w:r>
              <w:rPr>
                <w:rFonts w:ascii="Arial" w:cs="Arial" w:eastAsia="Arial" w:hAnsi="Arial"/>
                <w:sz w:val="14"/>
                <w:szCs w:val="14"/>
                <w:b w:val="1"/>
                <w:bCs w:val="1"/>
                <w:color w:val="auto"/>
                <w:w w:val="97"/>
              </w:rPr>
              <w:t>Condensed</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20" w:type="dxa"/>
            <w:vAlign w:val="bottom"/>
            <w:gridSpan w:val="9"/>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84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86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6"/>
              </w:rPr>
              <w:t>Consolidated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Offset</w:t>
            </w:r>
            <w:r>
              <w:rPr>
                <w:rFonts w:ascii="Arial" w:cs="Arial" w:eastAsia="Arial" w:hAnsi="Arial"/>
                <w:sz w:val="17"/>
                <w:szCs w:val="17"/>
                <w:b w:val="1"/>
                <w:bCs w:val="1"/>
                <w:color w:val="auto"/>
                <w:w w:val="99"/>
                <w:vertAlign w:val="superscript"/>
              </w:rPr>
              <w:t>(1)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8"/>
              </w:rPr>
              <w:t>Balance Sheets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7"/>
              </w:rPr>
              <w:t>Instruments</w:t>
            </w:r>
            <w:r>
              <w:rPr>
                <w:rFonts w:ascii="Arial" w:cs="Arial" w:eastAsia="Arial" w:hAnsi="Arial"/>
                <w:sz w:val="8"/>
                <w:szCs w:val="8"/>
                <w:b w:val="1"/>
                <w:bCs w:val="1"/>
                <w:color w:val="auto"/>
                <w:w w:val="97"/>
              </w:rPr>
              <w:t>(2)</w:t>
            </w:r>
          </w:p>
        </w:tc>
        <w:tc>
          <w:tcPr>
            <w:tcW w:w="120" w:type="dxa"/>
            <w:vAlign w:val="bottom"/>
          </w:tcPr>
          <w:p>
            <w:pPr>
              <w:spacing w:after="0"/>
              <w:rPr>
                <w:sz w:val="18"/>
                <w:szCs w:val="18"/>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70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28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2900" w:type="dxa"/>
            <w:vAlign w:val="bottom"/>
            <w:tcBorders>
              <w:top w:val="single" w:sz="8" w:color="2C6937"/>
            </w:tcBorders>
            <w:gridSpan w:val="10"/>
          </w:tcPr>
          <w:p>
            <w:pPr>
              <w:jc w:val="center"/>
              <w:ind w:right="14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Borders>
              <w:top w:val="single" w:sz="8" w:color="2C6937"/>
            </w:tcBorders>
          </w:tcPr>
          <w:p>
            <w:pPr>
              <w:spacing w:after="0"/>
              <w:rPr>
                <w:sz w:val="16"/>
                <w:szCs w:val="16"/>
                <w:color w:val="auto"/>
              </w:rPr>
            </w:pPr>
          </w:p>
        </w:tc>
        <w:tc>
          <w:tcPr>
            <w:tcW w:w="86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340" w:type="dxa"/>
            <w:vAlign w:val="bottom"/>
            <w:tcBorders>
              <w:top w:val="single" w:sz="8" w:color="2C6937"/>
            </w:tcBorders>
          </w:tcPr>
          <w:p>
            <w:pPr>
              <w:spacing w:after="0"/>
              <w:rPr>
                <w:sz w:val="16"/>
                <w:szCs w:val="16"/>
                <w:color w:val="auto"/>
              </w:rPr>
            </w:pPr>
          </w:p>
        </w:tc>
        <w:tc>
          <w:tcPr>
            <w:tcW w:w="560" w:type="dxa"/>
            <w:vAlign w:val="bottom"/>
            <w:tcBorders>
              <w:top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376</w:t>
            </w:r>
          </w:p>
        </w:tc>
        <w:tc>
          <w:tcPr>
            <w:tcW w:w="40" w:type="dxa"/>
            <w:vAlign w:val="bottom"/>
          </w:tcPr>
          <w:p>
            <w:pPr>
              <w:spacing w:after="0"/>
              <w:rPr>
                <w:sz w:val="21"/>
                <w:szCs w:val="21"/>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(342)</w:t>
            </w: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34</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5"/>
          </w:tcPr>
          <w:p>
            <w:pPr>
              <w:ind w:left="640"/>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ind w:right="208"/>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52</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52</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20"/>
                <w:szCs w:val="20"/>
                <w:color w:val="auto"/>
              </w:rPr>
            </w:pPr>
          </w:p>
        </w:tc>
        <w:tc>
          <w:tcPr>
            <w:tcW w:w="1040" w:type="dxa"/>
            <w:vAlign w:val="bottom"/>
            <w:gridSpan w:val="5"/>
          </w:tcPr>
          <w:p>
            <w:pPr>
              <w:ind w:left="6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366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color w:val="auto"/>
              </w:rPr>
              <w:t>Mortgage commitment derivatives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66</w:t>
            </w:r>
          </w:p>
        </w:tc>
        <w:tc>
          <w:tcPr>
            <w:tcW w:w="40" w:type="dxa"/>
            <w:vAlign w:val="bottom"/>
            <w:tcBorders>
              <w:bottom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66</w:t>
            </w:r>
          </w:p>
        </w:tc>
        <w:tc>
          <w:tcPr>
            <w:tcW w:w="440" w:type="dxa"/>
            <w:vAlign w:val="bottom"/>
            <w:gridSpan w:val="2"/>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24"/>
              <w:spacing w:after="0"/>
              <w:rPr>
                <w:sz w:val="20"/>
                <w:szCs w:val="20"/>
                <w:color w:val="auto"/>
              </w:rPr>
            </w:pPr>
            <w:r>
              <w:rPr>
                <w:rFonts w:ascii="Arial" w:cs="Arial" w:eastAsia="Arial" w:hAnsi="Arial"/>
                <w:sz w:val="15"/>
                <w:szCs w:val="15"/>
                <w:color w:val="auto"/>
                <w:w w:val="97"/>
              </w:rPr>
              <w:t>(50)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ind w:left="640"/>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660" w:type="dxa"/>
            <w:vAlign w:val="bottom"/>
            <w:gridSpan w:val="2"/>
          </w:tcPr>
          <w:p>
            <w:pPr>
              <w:ind w:left="320"/>
              <w:spacing w:after="0"/>
              <w:rPr>
                <w:sz w:val="20"/>
                <w:szCs w:val="20"/>
                <w:color w:val="auto"/>
              </w:rPr>
            </w:pPr>
            <w:r>
              <w:rPr>
                <w:rFonts w:ascii="Arial" w:cs="Arial" w:eastAsia="Arial" w:hAnsi="Arial"/>
                <w:sz w:val="15"/>
                <w:szCs w:val="15"/>
                <w:color w:val="auto"/>
              </w:rPr>
              <w:t>Total derivative 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(290)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152</w:t>
            </w:r>
          </w:p>
        </w:tc>
        <w:tc>
          <w:tcPr>
            <w:tcW w:w="4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left="424"/>
              <w:spacing w:after="0"/>
              <w:rPr>
                <w:sz w:val="20"/>
                <w:szCs w:val="20"/>
                <w:color w:val="auto"/>
              </w:rPr>
            </w:pPr>
            <w:r>
              <w:rPr>
                <w:rFonts w:ascii="Arial" w:cs="Arial" w:eastAsia="Arial" w:hAnsi="Arial"/>
                <w:sz w:val="15"/>
                <w:szCs w:val="15"/>
                <w:color w:val="auto"/>
                <w:w w:val="97"/>
              </w:rPr>
              <w:t>(50)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66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color w:val="auto"/>
              </w:rPr>
              <w:t>Securities purchased under agreements to resell</w:t>
            </w:r>
            <w:r>
              <w:rPr>
                <w:rFonts w:ascii="Arial" w:cs="Arial" w:eastAsia="Arial" w:hAnsi="Arial"/>
                <w:sz w:val="20"/>
                <w:szCs w:val="20"/>
                <w:color w:val="auto"/>
                <w:vertAlign w:val="superscript"/>
              </w:rPr>
              <w:t>(5)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70,200</w:t>
            </w:r>
          </w:p>
        </w:tc>
        <w:tc>
          <w:tcPr>
            <w:tcW w:w="4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70,200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3"/>
              </w:rPr>
              <w:t>—</w:t>
            </w:r>
          </w:p>
        </w:tc>
        <w:tc>
          <w:tcPr>
            <w:tcW w:w="420" w:type="dxa"/>
            <w:vAlign w:val="bottom"/>
            <w:gridSpan w:val="2"/>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(70,200)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Total assets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70,642</w:t>
            </w:r>
          </w:p>
        </w:tc>
        <w:tc>
          <w:tcPr>
            <w:tcW w:w="40" w:type="dxa"/>
            <w:vAlign w:val="bottom"/>
          </w:tcPr>
          <w:p>
            <w:pPr>
              <w:spacing w:after="0"/>
              <w:rPr>
                <w:sz w:val="17"/>
                <w:szCs w:val="17"/>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(290)</w:t>
            </w: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70,352</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center"/>
              <w:ind w:left="424"/>
              <w:spacing w:after="0"/>
              <w:rPr>
                <w:sz w:val="20"/>
                <w:szCs w:val="20"/>
                <w:color w:val="auto"/>
              </w:rPr>
            </w:pPr>
            <w:r>
              <w:rPr>
                <w:rFonts w:ascii="Arial" w:cs="Arial" w:eastAsia="Arial" w:hAnsi="Arial"/>
                <w:sz w:val="15"/>
                <w:szCs w:val="15"/>
                <w:color w:val="auto"/>
                <w:w w:val="97"/>
              </w:rPr>
              <w:t>(50)</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(70,201)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2"/>
          </w:tcPr>
          <w:p>
            <w:pPr>
              <w:jc w:val="right"/>
              <w:ind w:right="208"/>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(3,027)</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3,026</w:t>
            </w:r>
          </w:p>
        </w:tc>
        <w:tc>
          <w:tcPr>
            <w:tcW w:w="40" w:type="dxa"/>
            <w:vAlign w:val="bottom"/>
          </w:tcPr>
          <w:p>
            <w:pPr>
              <w:spacing w:after="0"/>
              <w:rPr>
                <w:sz w:val="21"/>
                <w:szCs w:val="21"/>
                <w:color w:val="auto"/>
              </w:rPr>
            </w:pP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5"/>
          </w:tcPr>
          <w:p>
            <w:pPr>
              <w:ind w:left="640"/>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ind w:right="208"/>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right"/>
              <w:ind w:right="47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7"/>
                <w:szCs w:val="17"/>
                <w:color w:val="auto"/>
              </w:rPr>
            </w:pPr>
          </w:p>
        </w:tc>
        <w:tc>
          <w:tcPr>
            <w:tcW w:w="1040" w:type="dxa"/>
            <w:vAlign w:val="bottom"/>
            <w:gridSpan w:val="5"/>
          </w:tcPr>
          <w:p>
            <w:pPr>
              <w:ind w:left="6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366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color w:val="auto"/>
              </w:rPr>
              <w:t>Mortgage commitment derivatives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(65)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w:t>
            </w:r>
          </w:p>
        </w:tc>
        <w:tc>
          <w:tcPr>
            <w:tcW w:w="440" w:type="dxa"/>
            <w:vAlign w:val="bottom"/>
            <w:gridSpan w:val="2"/>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44"/>
              <w:spacing w:after="0"/>
              <w:rPr>
                <w:sz w:val="20"/>
                <w:szCs w:val="20"/>
                <w:color w:val="auto"/>
              </w:rPr>
            </w:pPr>
            <w:r>
              <w:rPr>
                <w:rFonts w:ascii="Arial" w:cs="Arial" w:eastAsia="Arial" w:hAnsi="Arial"/>
                <w:sz w:val="15"/>
                <w:szCs w:val="15"/>
                <w:color w:val="auto"/>
                <w:w w:val="95"/>
              </w:rPr>
              <w:t>50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Total liabilities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(3,092)</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3,026</w:t>
            </w:r>
          </w:p>
        </w:tc>
        <w:tc>
          <w:tcPr>
            <w:tcW w:w="40" w:type="dxa"/>
            <w:vAlign w:val="bottom"/>
          </w:tcPr>
          <w:p>
            <w:pPr>
              <w:spacing w:after="0"/>
              <w:rPr>
                <w:sz w:val="17"/>
                <w:szCs w:val="17"/>
                <w:color w:val="auto"/>
              </w:rPr>
            </w:pP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(66)</w:t>
            </w:r>
          </w:p>
        </w:tc>
        <w:tc>
          <w:tcPr>
            <w:tcW w:w="440" w:type="dxa"/>
            <w:vAlign w:val="bottom"/>
            <w:gridSpan w:val="2"/>
            <w:vMerge w:val="continue"/>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center"/>
              <w:ind w:left="444"/>
              <w:spacing w:after="0"/>
              <w:rPr>
                <w:sz w:val="20"/>
                <w:szCs w:val="20"/>
                <w:color w:val="auto"/>
              </w:rPr>
            </w:pPr>
            <w:r>
              <w:rPr>
                <w:rFonts w:ascii="Arial" w:cs="Arial" w:eastAsia="Arial" w:hAnsi="Arial"/>
                <w:sz w:val="15"/>
                <w:szCs w:val="15"/>
                <w:color w:val="auto"/>
                <w:w w:val="95"/>
              </w:rPr>
              <w:t>50</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2"/>
          </w:tcPr>
          <w:p>
            <w:pPr>
              <w:jc w:val="right"/>
              <w:ind w:right="208"/>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900" w:type="dxa"/>
            <w:vAlign w:val="bottom"/>
            <w:tcBorders>
              <w:bottom w:val="single" w:sz="8" w:color="2C6937"/>
            </w:tcBorders>
            <w:gridSpan w:val="10"/>
          </w:tcPr>
          <w:p>
            <w:pPr>
              <w:jc w:val="center"/>
              <w:ind w:right="120"/>
              <w:spacing w:after="0"/>
              <w:rPr>
                <w:sz w:val="20"/>
                <w:szCs w:val="20"/>
                <w:color w:val="auto"/>
              </w:rPr>
            </w:pPr>
            <w:r>
              <w:rPr>
                <w:rFonts w:ascii="Arial" w:cs="Arial" w:eastAsia="Arial" w:hAnsi="Arial"/>
                <w:sz w:val="14"/>
                <w:szCs w:val="14"/>
                <w:b w:val="1"/>
                <w:bCs w:val="1"/>
                <w:color w:val="auto"/>
                <w:w w:val="98"/>
              </w:rPr>
              <w:t>As of December 31, 2023</w:t>
            </w:r>
          </w:p>
        </w:tc>
        <w:tc>
          <w:tcPr>
            <w:tcW w:w="12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5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tcPr>
          <w:p>
            <w:pPr>
              <w:jc w:val="center"/>
              <w:ind w:right="370"/>
              <w:spacing w:after="0"/>
              <w:rPr>
                <w:sz w:val="20"/>
                <w:szCs w:val="20"/>
                <w:color w:val="auto"/>
              </w:rPr>
            </w:pPr>
            <w:r>
              <w:rPr>
                <w:rFonts w:ascii="Arial" w:cs="Arial" w:eastAsia="Arial" w:hAnsi="Arial"/>
                <w:sz w:val="14"/>
                <w:szCs w:val="14"/>
                <w:b w:val="1"/>
                <w:bCs w:val="1"/>
                <w:color w:val="auto"/>
                <w:w w:val="98"/>
              </w:rPr>
              <w:t>Net Amount</w:t>
            </w:r>
          </w:p>
        </w:tc>
        <w:tc>
          <w:tcPr>
            <w:tcW w:w="20" w:type="dxa"/>
            <w:vAlign w:val="bottom"/>
          </w:tcPr>
          <w:p>
            <w:pPr>
              <w:spacing w:after="0"/>
              <w:rPr>
                <w:sz w:val="21"/>
                <w:szCs w:val="21"/>
                <w:color w:val="auto"/>
              </w:rPr>
            </w:pPr>
          </w:p>
        </w:tc>
        <w:tc>
          <w:tcPr>
            <w:tcW w:w="2760" w:type="dxa"/>
            <w:vAlign w:val="bottom"/>
            <w:gridSpan w:val="12"/>
            <w:vMerge w:val="restart"/>
          </w:tcPr>
          <w:p>
            <w:pPr>
              <w:jc w:val="center"/>
              <w:ind w:right="60"/>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3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Presented in our</w:t>
            </w:r>
          </w:p>
        </w:tc>
        <w:tc>
          <w:tcPr>
            <w:tcW w:w="20" w:type="dxa"/>
            <w:vAlign w:val="bottom"/>
          </w:tcPr>
          <w:p>
            <w:pPr>
              <w:spacing w:after="0"/>
              <w:rPr>
                <w:sz w:val="7"/>
                <w:szCs w:val="7"/>
                <w:color w:val="auto"/>
              </w:rPr>
            </w:pPr>
          </w:p>
        </w:tc>
        <w:tc>
          <w:tcPr>
            <w:tcW w:w="2760" w:type="dxa"/>
            <w:vAlign w:val="bottom"/>
            <w:gridSpan w:val="12"/>
            <w:vMerge w:val="continue"/>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3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9"/>
            <w:vMerge w:val="restart"/>
          </w:tcPr>
          <w:p>
            <w:pPr>
              <w:jc w:val="center"/>
              <w:ind w:right="400"/>
              <w:spacing w:after="0"/>
              <w:rPr>
                <w:sz w:val="20"/>
                <w:szCs w:val="20"/>
                <w:color w:val="auto"/>
              </w:rPr>
            </w:pPr>
            <w:r>
              <w:rPr>
                <w:rFonts w:ascii="Arial" w:cs="Arial" w:eastAsia="Arial" w:hAnsi="Arial"/>
                <w:sz w:val="14"/>
                <w:szCs w:val="14"/>
                <w:b w:val="1"/>
                <w:bCs w:val="1"/>
                <w:color w:val="auto"/>
                <w:w w:val="98"/>
              </w:rPr>
              <w:t>Consolidated Balance Sheets</w:t>
            </w: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tcPr>
          <w:p>
            <w:pPr>
              <w:jc w:val="center"/>
              <w:ind w:right="350"/>
              <w:spacing w:after="0" w:line="119" w:lineRule="exact"/>
              <w:rPr>
                <w:sz w:val="20"/>
                <w:szCs w:val="20"/>
                <w:color w:val="auto"/>
              </w:rPr>
            </w:pPr>
            <w:r>
              <w:rPr>
                <w:rFonts w:ascii="Arial" w:cs="Arial" w:eastAsia="Arial" w:hAnsi="Arial"/>
                <w:sz w:val="13"/>
                <w:szCs w:val="13"/>
                <w:b w:val="1"/>
                <w:bCs w:val="1"/>
                <w:color w:val="auto"/>
              </w:rPr>
              <w:t>Condensed</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gridSpan w:val="9"/>
            <w:vMerge w:val="continue"/>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16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8"/>
              </w:rPr>
              <w:t>Consolidated Balance</w:t>
            </w:r>
          </w:p>
        </w:tc>
        <w:tc>
          <w:tcPr>
            <w:tcW w:w="20" w:type="dxa"/>
            <w:vAlign w:val="bottom"/>
          </w:tcPr>
          <w:p>
            <w:pPr>
              <w:spacing w:after="0"/>
              <w:rPr>
                <w:sz w:val="15"/>
                <w:szCs w:val="15"/>
                <w:color w:val="auto"/>
              </w:rPr>
            </w:pPr>
          </w:p>
        </w:tc>
        <w:tc>
          <w:tcPr>
            <w:tcW w:w="18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1260" w:type="dxa"/>
            <w:vAlign w:val="bottom"/>
            <w:tcBorders>
              <w:top w:val="single" w:sz="8" w:color="2C6937"/>
            </w:tcBorders>
            <w:gridSpan w:val="3"/>
          </w:tcPr>
          <w:p>
            <w:pPr>
              <w:jc w:val="center"/>
              <w:ind w:right="540"/>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Borders>
              <w:top w:val="single" w:sz="8" w:color="2C6937"/>
            </w:tcBorders>
          </w:tcPr>
          <w:p>
            <w:pPr>
              <w:spacing w:after="0"/>
              <w:rPr>
                <w:sz w:val="15"/>
                <w:szCs w:val="15"/>
                <w:color w:val="auto"/>
              </w:rPr>
            </w:pPr>
          </w:p>
        </w:tc>
        <w:tc>
          <w:tcPr>
            <w:tcW w:w="86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8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4"/>
                <w:szCs w:val="14"/>
                <w:b w:val="1"/>
                <w:bCs w:val="1"/>
                <w:color w:val="auto"/>
                <w:w w:val="91"/>
              </w:rPr>
              <w:t>Offset</w:t>
            </w:r>
            <w:r>
              <w:rPr>
                <w:rFonts w:ascii="Arial" w:cs="Arial" w:eastAsia="Arial" w:hAnsi="Arial"/>
                <w:sz w:val="17"/>
                <w:szCs w:val="17"/>
                <w:b w:val="1"/>
                <w:bCs w:val="1"/>
                <w:color w:val="auto"/>
                <w:w w:val="91"/>
                <w:vertAlign w:val="superscript"/>
              </w:rPr>
              <w:t>(1)</w:t>
            </w:r>
          </w:p>
        </w:tc>
        <w:tc>
          <w:tcPr>
            <w:tcW w:w="2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gridSpan w:val="3"/>
          </w:tcPr>
          <w:p>
            <w:pPr>
              <w:jc w:val="center"/>
              <w:ind w:right="350"/>
              <w:spacing w:after="0"/>
              <w:rPr>
                <w:sz w:val="20"/>
                <w:szCs w:val="20"/>
                <w:color w:val="auto"/>
              </w:rPr>
            </w:pPr>
            <w:r>
              <w:rPr>
                <w:rFonts w:ascii="Arial" w:cs="Arial" w:eastAsia="Arial" w:hAnsi="Arial"/>
                <w:sz w:val="14"/>
                <w:szCs w:val="14"/>
                <w:b w:val="1"/>
                <w:bCs w:val="1"/>
                <w:color w:val="auto"/>
                <w:w w:val="95"/>
              </w:rPr>
              <w:t>Sheets</w:t>
            </w:r>
          </w:p>
        </w:tc>
        <w:tc>
          <w:tcPr>
            <w:tcW w:w="2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gridSpan w:val="4"/>
          </w:tcPr>
          <w:p>
            <w:pPr>
              <w:jc w:val="center"/>
              <w:ind w:right="400"/>
              <w:spacing w:after="0"/>
              <w:rPr>
                <w:sz w:val="20"/>
                <w:szCs w:val="20"/>
                <w:color w:val="auto"/>
              </w:rPr>
            </w:pPr>
            <w:r>
              <w:rPr>
                <w:rFonts w:ascii="Arial" w:cs="Arial" w:eastAsia="Arial" w:hAnsi="Arial"/>
                <w:sz w:val="14"/>
                <w:szCs w:val="14"/>
                <w:b w:val="1"/>
                <w:bCs w:val="1"/>
                <w:color w:val="auto"/>
                <w:w w:val="93"/>
              </w:rPr>
              <w:t>Instruments</w:t>
            </w:r>
            <w:r>
              <w:rPr>
                <w:rFonts w:ascii="Arial" w:cs="Arial" w:eastAsia="Arial" w:hAnsi="Arial"/>
                <w:sz w:val="17"/>
                <w:szCs w:val="17"/>
                <w:b w:val="1"/>
                <w:bCs w:val="1"/>
                <w:color w:val="auto"/>
                <w:w w:val="93"/>
                <w:vertAlign w:val="superscript"/>
              </w:rPr>
              <w:t>(2)</w:t>
            </w: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5"/>
          </w:tcPr>
          <w:p>
            <w:pPr>
              <w:ind w:left="20"/>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gridSpan w:val="3"/>
          </w:tcPr>
          <w:p>
            <w:pPr>
              <w:jc w:val="right"/>
              <w:ind w:right="8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Assets: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328</w:t>
            </w:r>
          </w:p>
        </w:tc>
        <w:tc>
          <w:tcPr>
            <w:tcW w:w="4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(294)</w:t>
            </w:r>
          </w:p>
        </w:tc>
        <w:tc>
          <w:tcPr>
            <w:tcW w:w="40" w:type="dxa"/>
            <w:vAlign w:val="bottom"/>
          </w:tcPr>
          <w:p>
            <w:pPr>
              <w:spacing w:after="0"/>
              <w:rPr>
                <w:sz w:val="17"/>
                <w:szCs w:val="17"/>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34</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2C6937"/>
            </w:tcBorders>
          </w:tcPr>
          <w:p>
            <w:pPr>
              <w:spacing w:after="0"/>
              <w:rPr>
                <w:sz w:val="18"/>
                <w:szCs w:val="18"/>
                <w:color w:val="auto"/>
              </w:rPr>
            </w:pPr>
          </w:p>
        </w:tc>
        <w:tc>
          <w:tcPr>
            <w:tcW w:w="36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Mortgage commitment derivatives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112</w:t>
            </w:r>
          </w:p>
        </w:tc>
        <w:tc>
          <w:tcPr>
            <w:tcW w:w="20" w:type="dxa"/>
            <w:vAlign w:val="bottom"/>
            <w:tcBorders>
              <w:bottom w:val="single" w:sz="8" w:color="2C6937"/>
            </w:tcBorders>
          </w:tcPr>
          <w:p>
            <w:pPr>
              <w:spacing w:after="0"/>
              <w:rPr>
                <w:sz w:val="18"/>
                <w:szCs w:val="18"/>
                <w:color w:val="auto"/>
              </w:rPr>
            </w:pPr>
          </w:p>
        </w:tc>
        <w:tc>
          <w:tcPr>
            <w:tcW w:w="420" w:type="dxa"/>
            <w:vAlign w:val="bottom"/>
            <w:vMerge w:val="restart"/>
          </w:tcPr>
          <w:p>
            <w:pPr>
              <w:jc w:val="right"/>
              <w:ind w:right="25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7"/>
              </w:rPr>
              <w:t>(23)</w:t>
            </w:r>
          </w:p>
        </w:tc>
        <w:tc>
          <w:tcPr>
            <w:tcW w:w="20" w:type="dxa"/>
            <w:vAlign w:val="bottom"/>
            <w:tcBorders>
              <w:bottom w:val="single" w:sz="8" w:color="2C6937"/>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c>
          <w:tcPr>
            <w:tcW w:w="2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80</w:t>
            </w:r>
          </w:p>
        </w:tc>
        <w:tc>
          <w:tcPr>
            <w:tcW w:w="4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660" w:type="dxa"/>
            <w:vAlign w:val="bottom"/>
            <w:gridSpan w:val="2"/>
          </w:tcPr>
          <w:p>
            <w:pPr>
              <w:ind w:left="260"/>
              <w:spacing w:after="0"/>
              <w:rPr>
                <w:sz w:val="20"/>
                <w:szCs w:val="20"/>
                <w:color w:val="auto"/>
              </w:rPr>
            </w:pPr>
            <w:r>
              <w:rPr>
                <w:rFonts w:ascii="Arial" w:cs="Arial" w:eastAsia="Arial" w:hAnsi="Arial"/>
                <w:sz w:val="15"/>
                <w:szCs w:val="15"/>
                <w:color w:val="auto"/>
              </w:rPr>
              <w:t>Total derivative 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440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5"/>
                <w:szCs w:val="15"/>
                <w:color w:val="auto"/>
              </w:rPr>
              <w:t>157</w:t>
            </w:r>
          </w:p>
        </w:tc>
        <w:tc>
          <w:tcPr>
            <w:tcW w:w="4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left="464"/>
              <w:spacing w:after="0"/>
              <w:rPr>
                <w:sz w:val="20"/>
                <w:szCs w:val="20"/>
                <w:color w:val="auto"/>
              </w:rPr>
            </w:pPr>
            <w:r>
              <w:rPr>
                <w:rFonts w:ascii="Arial" w:cs="Arial" w:eastAsia="Arial" w:hAnsi="Arial"/>
                <w:sz w:val="15"/>
                <w:szCs w:val="15"/>
                <w:color w:val="auto"/>
                <w:w w:val="97"/>
              </w:rPr>
              <w:t>(23)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Borders>
              <w:bottom w:val="single" w:sz="8" w:color="2C6937"/>
            </w:tcBorders>
          </w:tcPr>
          <w:p>
            <w:pPr>
              <w:spacing w:after="0"/>
              <w:rPr>
                <w:sz w:val="20"/>
                <w:szCs w:val="20"/>
                <w:color w:val="auto"/>
              </w:rPr>
            </w:pPr>
          </w:p>
        </w:tc>
        <w:tc>
          <w:tcPr>
            <w:tcW w:w="36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Securities purchased under agreements to resell</w:t>
            </w:r>
            <w:r>
              <w:rPr>
                <w:rFonts w:ascii="Arial" w:cs="Arial" w:eastAsia="Arial" w:hAnsi="Arial"/>
                <w:sz w:val="20"/>
                <w:szCs w:val="20"/>
                <w:color w:val="auto"/>
                <w:vertAlign w:val="superscript"/>
              </w:rPr>
              <w:t>(5)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65,425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65,425</w:t>
            </w:r>
          </w:p>
        </w:tc>
        <w:tc>
          <w:tcPr>
            <w:tcW w:w="20" w:type="dxa"/>
            <w:vAlign w:val="bottom"/>
            <w:tcBorders>
              <w:bottom w:val="single" w:sz="8" w:color="2C6937"/>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(65,425)</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4"/>
        </w:trPr>
        <w:tc>
          <w:tcPr>
            <w:tcW w:w="368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color w:val="auto"/>
              </w:rPr>
              <w:t>Total assets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65,865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(283)</w:t>
            </w:r>
          </w:p>
        </w:tc>
        <w:tc>
          <w:tcPr>
            <w:tcW w:w="4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8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65,582</w:t>
            </w:r>
          </w:p>
        </w:tc>
        <w:tc>
          <w:tcPr>
            <w:tcW w:w="20" w:type="dxa"/>
            <w:vAlign w:val="bottom"/>
            <w:tcBorders>
              <w:bottom w:val="single" w:sz="8" w:color="2C6937"/>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gridSpan w:val="3"/>
          </w:tcPr>
          <w:p>
            <w:pPr>
              <w:spacing w:after="0"/>
              <w:rPr>
                <w:sz w:val="19"/>
                <w:szCs w:val="19"/>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7"/>
              </w:rPr>
              <w:t>(23)</w:t>
            </w:r>
          </w:p>
        </w:tc>
        <w:tc>
          <w:tcPr>
            <w:tcW w:w="20" w:type="dxa"/>
            <w:vAlign w:val="bottom"/>
            <w:tcBorders>
              <w:bottom w:val="single" w:sz="8" w:color="2C6937"/>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(65,434)</w:t>
            </w:r>
          </w:p>
        </w:tc>
        <w:tc>
          <w:tcPr>
            <w:tcW w:w="2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125</w:t>
            </w:r>
          </w:p>
        </w:tc>
        <w:tc>
          <w:tcPr>
            <w:tcW w:w="4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2C6937"/>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Liabilities: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(3,223)</w:t>
            </w:r>
          </w:p>
        </w:tc>
        <w:tc>
          <w:tcPr>
            <w:tcW w:w="4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3,203</w:t>
            </w:r>
          </w:p>
        </w:tc>
        <w:tc>
          <w:tcPr>
            <w:tcW w:w="40" w:type="dxa"/>
            <w:vAlign w:val="bottom"/>
          </w:tcPr>
          <w:p>
            <w:pPr>
              <w:spacing w:after="0"/>
              <w:rPr>
                <w:sz w:val="17"/>
                <w:szCs w:val="17"/>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(20)</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60" w:type="dxa"/>
            <w:vAlign w:val="bottom"/>
            <w:tcBorders>
              <w:bottom w:val="single" w:sz="8" w:color="2C6937"/>
            </w:tcBorders>
          </w:tcPr>
          <w:p>
            <w:pPr>
              <w:spacing w:after="0"/>
              <w:rPr>
                <w:sz w:val="18"/>
                <w:szCs w:val="18"/>
                <w:color w:val="auto"/>
              </w:rPr>
            </w:pPr>
          </w:p>
        </w:tc>
        <w:tc>
          <w:tcPr>
            <w:tcW w:w="36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Mortgage commitment derivatives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(104)</w:t>
            </w:r>
          </w:p>
        </w:tc>
        <w:tc>
          <w:tcPr>
            <w:tcW w:w="20" w:type="dxa"/>
            <w:vAlign w:val="bottom"/>
            <w:tcBorders>
              <w:bottom w:val="single" w:sz="8" w:color="2C6937"/>
            </w:tcBorders>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w:t>
            </w:r>
          </w:p>
        </w:tc>
        <w:tc>
          <w:tcPr>
            <w:tcW w:w="20" w:type="dxa"/>
            <w:vAlign w:val="bottom"/>
            <w:tcBorders>
              <w:bottom w:val="single" w:sz="8" w:color="2C6937"/>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ind w:left="640"/>
              <w:spacing w:after="0"/>
              <w:rPr>
                <w:sz w:val="20"/>
                <w:szCs w:val="20"/>
                <w:color w:val="auto"/>
              </w:rPr>
            </w:pPr>
            <w:r>
              <w:rPr>
                <w:rFonts w:ascii="Arial" w:cs="Arial" w:eastAsia="Arial" w:hAnsi="Arial"/>
                <w:sz w:val="15"/>
                <w:szCs w:val="15"/>
                <w:color w:val="auto"/>
              </w:rPr>
              <w:t>77</w:t>
            </w:r>
          </w:p>
        </w:tc>
        <w:tc>
          <w:tcPr>
            <w:tcW w:w="2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60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0"/>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Total liabilities</w:t>
            </w: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(3,327)</w:t>
            </w:r>
          </w:p>
        </w:tc>
        <w:tc>
          <w:tcPr>
            <w:tcW w:w="4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3,200</w:t>
            </w:r>
          </w:p>
        </w:tc>
        <w:tc>
          <w:tcPr>
            <w:tcW w:w="40" w:type="dxa"/>
            <w:vAlign w:val="bottom"/>
          </w:tcPr>
          <w:p>
            <w:pPr>
              <w:spacing w:after="0"/>
              <w:rPr>
                <w:sz w:val="17"/>
                <w:szCs w:val="17"/>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250"/>
              <w:spacing w:after="0" w:line="200" w:lineRule="exact"/>
              <w:rPr>
                <w:sz w:val="20"/>
                <w:szCs w:val="20"/>
                <w:color w:val="auto"/>
              </w:rPr>
            </w:pPr>
            <w:r>
              <w:rPr>
                <w:rFonts w:ascii="Arial" w:cs="Arial" w:eastAsia="Arial" w:hAnsi="Arial"/>
                <w:sz w:val="15"/>
                <w:szCs w:val="15"/>
                <w:color w:val="auto"/>
              </w:rPr>
              <w:t xml:space="preserve">(127) </w:t>
            </w:r>
            <w:r>
              <w:rPr>
                <w:rFonts w:ascii="Arial" w:cs="Arial" w:eastAsia="Arial" w:hAnsi="Arial"/>
                <w:sz w:val="20"/>
                <w:szCs w:val="20"/>
                <w:color w:val="auto"/>
                <w:vertAlign w:val="superscript"/>
              </w:rPr>
              <w:t>(4)</w:t>
            </w: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23</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ind w:left="640"/>
              <w:spacing w:after="0"/>
              <w:rPr>
                <w:sz w:val="20"/>
                <w:szCs w:val="20"/>
                <w:color w:val="auto"/>
              </w:rPr>
            </w:pPr>
            <w:r>
              <w:rPr>
                <w:rFonts w:ascii="Arial" w:cs="Arial" w:eastAsia="Arial" w:hAnsi="Arial"/>
                <w:sz w:val="15"/>
                <w:szCs w:val="15"/>
                <w:color w:val="auto"/>
              </w:rPr>
              <w:t>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
        </w:trPr>
        <w:tc>
          <w:tcPr>
            <w:tcW w:w="60" w:type="dxa"/>
            <w:vAlign w:val="bottom"/>
            <w:tcBorders>
              <w:top w:val="single" w:sz="8" w:color="2C6937"/>
              <w:bottom w:val="single" w:sz="8" w:color="2C6937"/>
            </w:tcBorders>
          </w:tcPr>
          <w:p>
            <w:pPr>
              <w:spacing w:after="0" w:line="20" w:lineRule="exact"/>
              <w:rPr>
                <w:sz w:val="1"/>
                <w:szCs w:val="1"/>
                <w:color w:val="auto"/>
              </w:rPr>
            </w:pPr>
          </w:p>
        </w:tc>
        <w:tc>
          <w:tcPr>
            <w:tcW w:w="3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240" w:hanging="237"/>
        <w:spacing w:after="0" w:line="226" w:lineRule="auto"/>
        <w:tabs>
          <w:tab w:leader="none" w:pos="233" w:val="left"/>
        </w:tabs>
        <w:numPr>
          <w:ilvl w:val="0"/>
          <w:numId w:val="122"/>
        </w:numPr>
        <w:rPr>
          <w:rFonts w:ascii="Arial" w:cs="Arial" w:eastAsia="Arial" w:hAnsi="Arial"/>
          <w:sz w:val="18"/>
          <w:szCs w:val="18"/>
          <w:color w:val="auto"/>
          <w:vertAlign w:val="superscript"/>
        </w:rPr>
      </w:pPr>
      <w:r>
        <w:rPr>
          <w:rFonts w:ascii="Arial" w:cs="Arial" w:eastAsia="Arial" w:hAnsi="Arial"/>
          <w:sz w:val="14"/>
          <w:szCs w:val="14"/>
          <w:color w:val="auto"/>
        </w:rPr>
        <w:t>Represents the effect of the right to offset under legally enforceable master netting arrangements to settle with the same counterparty on a net basis, including cash collateral posted and received and accrued interest.</w:t>
      </w:r>
    </w:p>
    <w:p>
      <w:pPr>
        <w:spacing w:after="0" w:line="27" w:lineRule="exact"/>
        <w:rPr>
          <w:rFonts w:ascii="Arial" w:cs="Arial" w:eastAsia="Arial" w:hAnsi="Arial"/>
          <w:sz w:val="18"/>
          <w:szCs w:val="18"/>
          <w:color w:val="auto"/>
          <w:vertAlign w:val="superscript"/>
        </w:rPr>
      </w:pPr>
    </w:p>
    <w:p>
      <w:pPr>
        <w:ind w:left="240" w:right="700" w:hanging="237"/>
        <w:spacing w:after="0" w:line="226" w:lineRule="auto"/>
        <w:tabs>
          <w:tab w:leader="none" w:pos="233" w:val="left"/>
        </w:tabs>
        <w:numPr>
          <w:ilvl w:val="0"/>
          <w:numId w:val="122"/>
        </w:numPr>
        <w:rPr>
          <w:rFonts w:ascii="Arial" w:cs="Arial" w:eastAsia="Arial" w:hAnsi="Arial"/>
          <w:sz w:val="18"/>
          <w:szCs w:val="18"/>
          <w:color w:val="auto"/>
          <w:vertAlign w:val="superscript"/>
        </w:rPr>
      </w:pPr>
      <w:r>
        <w:rPr>
          <w:rFonts w:ascii="Arial" w:cs="Arial" w:eastAsia="Arial" w:hAnsi="Arial"/>
          <w:sz w:val="14"/>
          <w:szCs w:val="14"/>
          <w:color w:val="auto"/>
        </w:rPr>
        <w:t>Mortgage commitment derivative amounts reflect where we have recognized both an asset and a liability with the same counterparty under an enforceable master netting arrangement but we have not elected to offset the related amounts in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104" w:name="page105"/>
    <w:bookmarkEnd w:id="104"/>
    <w:p>
      <w:pPr>
        <w:ind w:left="6260"/>
        <w:spacing w:after="0"/>
        <w:rPr>
          <w:sz w:val="20"/>
          <w:szCs w:val="20"/>
          <w:color w:val="auto"/>
        </w:rPr>
      </w:pPr>
      <w:r>
        <w:rPr>
          <w:rFonts w:ascii="Arial" w:cs="Arial" w:eastAsia="Arial" w:hAnsi="Arial"/>
          <w:sz w:val="13"/>
          <w:szCs w:val="13"/>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right="100" w:hanging="237"/>
        <w:spacing w:after="0" w:line="236" w:lineRule="auto"/>
        <w:tabs>
          <w:tab w:leader="none" w:pos="233" w:val="left"/>
        </w:tabs>
        <w:numPr>
          <w:ilvl w:val="0"/>
          <w:numId w:val="123"/>
        </w:numPr>
        <w:rPr>
          <w:rFonts w:ascii="Arial" w:cs="Arial" w:eastAsia="Arial" w:hAnsi="Arial"/>
          <w:sz w:val="18"/>
          <w:szCs w:val="18"/>
          <w:color w:val="auto"/>
          <w:vertAlign w:val="superscript"/>
        </w:rPr>
      </w:pPr>
      <w:r>
        <w:rPr>
          <w:rFonts w:ascii="Arial" w:cs="Arial" w:eastAsia="Arial" w:hAnsi="Arial"/>
          <w:sz w:val="14"/>
          <w:szCs w:val="14"/>
          <w:color w:val="auto"/>
        </w:rPr>
        <w:t>Represents collateral received that has not been recognized and not offset in our condensed consolidated balance sheets, as well as collateral posted which has been recognized but not offset in our condensed consolidated balance sheets. Does not include collateral held or posted in excess of our exposure. The fair value of non-cash collateral we pledged which the counterparty was permitted to sell or repledge was $2.0 billion and $2.2 billion as of June 30, 2024 and December 31, 2023, respectively. The fair value of non-cash collateral received was $70.2 billion and $65.5 billion, of which $55.3 billion and $55.4 billion could be sold or repledged as of June 30, 2024 and December 31, 2023, respectively. None of the underlying collateral was sold or repledged as of June 30, 2024 or December 31, 2023.</w:t>
      </w:r>
    </w:p>
    <w:p>
      <w:pPr>
        <w:spacing w:after="0" w:line="26" w:lineRule="exact"/>
        <w:rPr>
          <w:rFonts w:ascii="Arial" w:cs="Arial" w:eastAsia="Arial" w:hAnsi="Arial"/>
          <w:sz w:val="18"/>
          <w:szCs w:val="18"/>
          <w:color w:val="auto"/>
          <w:vertAlign w:val="superscript"/>
        </w:rPr>
      </w:pPr>
    </w:p>
    <w:p>
      <w:pPr>
        <w:ind w:left="240" w:hanging="237"/>
        <w:spacing w:after="0" w:line="244" w:lineRule="auto"/>
        <w:tabs>
          <w:tab w:leader="none" w:pos="233" w:val="left"/>
        </w:tabs>
        <w:numPr>
          <w:ilvl w:val="0"/>
          <w:numId w:val="123"/>
        </w:numPr>
        <w:rPr>
          <w:rFonts w:ascii="Arial" w:cs="Arial" w:eastAsia="Arial" w:hAnsi="Arial"/>
          <w:sz w:val="17"/>
          <w:szCs w:val="17"/>
          <w:color w:val="auto"/>
          <w:vertAlign w:val="superscript"/>
        </w:rPr>
      </w:pPr>
      <w:r>
        <w:rPr>
          <w:rFonts w:ascii="Arial" w:cs="Arial" w:eastAsia="Arial" w:hAnsi="Arial"/>
          <w:sz w:val="13"/>
          <w:szCs w:val="13"/>
          <w:color w:val="auto"/>
        </w:rPr>
        <w:t>Excludes derivative assets of $67 million and $45 million as of June 30, 2024 and December 31, 2023, respectively, and derivative liabilities of $15 million and $13 million as of June 30, 2024 and December 31, 2023, respectively, recognized in our condensed consolidated balance sheets, that were not subject to enforceable master netting arrangements.</w:t>
      </w:r>
    </w:p>
    <w:p>
      <w:pPr>
        <w:spacing w:after="0" w:line="23" w:lineRule="exact"/>
        <w:rPr>
          <w:rFonts w:ascii="Arial" w:cs="Arial" w:eastAsia="Arial" w:hAnsi="Arial"/>
          <w:sz w:val="17"/>
          <w:szCs w:val="17"/>
          <w:color w:val="auto"/>
          <w:vertAlign w:val="superscript"/>
        </w:rPr>
      </w:pPr>
    </w:p>
    <w:p>
      <w:pPr>
        <w:jc w:val="both"/>
        <w:ind w:left="240" w:right="80" w:hanging="237"/>
        <w:spacing w:after="0" w:line="228" w:lineRule="auto"/>
        <w:tabs>
          <w:tab w:leader="none" w:pos="233" w:val="left"/>
        </w:tabs>
        <w:numPr>
          <w:ilvl w:val="0"/>
          <w:numId w:val="123"/>
        </w:numPr>
        <w:rPr>
          <w:rFonts w:ascii="Arial" w:cs="Arial" w:eastAsia="Arial" w:hAnsi="Arial"/>
          <w:sz w:val="18"/>
          <w:szCs w:val="18"/>
          <w:color w:val="auto"/>
          <w:vertAlign w:val="superscript"/>
        </w:rPr>
      </w:pPr>
      <w:r>
        <w:rPr>
          <w:rFonts w:ascii="Arial" w:cs="Arial" w:eastAsia="Arial" w:hAnsi="Arial"/>
          <w:sz w:val="14"/>
          <w:szCs w:val="14"/>
          <w:color w:val="auto"/>
        </w:rPr>
        <w:t>Includes $28.2 billion and $21.8 billion in securities purchased under agreements to resell classified as “Cash and cash equivalents” in our condensed consolidated balance sheets as of June 30, 2024 and December 31, 2023, respectively. Includes $14.4 billion and $12.9 billion in securities purchased under agreements to resell classified as “Restricted cash and cash equivalents” in our condensed consolidated balance sheets as of June 30, 2024 and December 31, 2023, respectively.</w:t>
      </w:r>
    </w:p>
    <w:p>
      <w:pPr>
        <w:spacing w:after="0" w:line="50" w:lineRule="exact"/>
        <w:rPr>
          <w:sz w:val="20"/>
          <w:szCs w:val="20"/>
          <w:color w:val="auto"/>
        </w:rPr>
      </w:pPr>
    </w:p>
    <w:p>
      <w:pPr>
        <w:ind w:right="300"/>
        <w:spacing w:after="0" w:line="272" w:lineRule="auto"/>
        <w:rPr>
          <w:sz w:val="20"/>
          <w:szCs w:val="20"/>
          <w:color w:val="auto"/>
        </w:rPr>
      </w:pPr>
      <w:r>
        <w:rPr>
          <w:rFonts w:ascii="Arial" w:cs="Arial" w:eastAsia="Arial" w:hAnsi="Arial"/>
          <w:sz w:val="16"/>
          <w:szCs w:val="16"/>
          <w:color w:val="auto"/>
        </w:rPr>
        <w:t>Derivative instruments are recorded at fair value and securities purchased under agreements to resell are recorded at amortized cost in our condensed consolidated balance sheets. For a discussion of how we determine our rights to offset the assets and liabilities presented above with the same counterparty, including collateral posted or received, see “Note 15, Netting Arrangements” in our 2023 Form 10-K.</w:t>
      </w:r>
    </w:p>
    <w:p>
      <w:pPr>
        <w:spacing w:after="0" w:line="141"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13. Fair Value</w:t>
      </w:r>
    </w:p>
    <w:p>
      <w:pPr>
        <w:spacing w:after="0" w:line="67"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auto"/>
        </w:rPr>
        <w:t>We use fair value measurements for the initial recording of certain assets and liabilities and periodic remeasurement of certain assets and liabilities on a recurring or nonrecurring basis.</w:t>
      </w:r>
    </w:p>
    <w:p>
      <w:pPr>
        <w:spacing w:after="0" w:line="48"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Measurement</w:t>
      </w:r>
    </w:p>
    <w:p>
      <w:pPr>
        <w:spacing w:after="0" w:line="68"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Fair value measurement guidance defines fair value, establishes a framework for measuring fair value, and sets forth disclosures around fair value measurements. This guidance applies whenever other accounting guidance requires or permits assets or liabilities to be measured at fair value. The guidance establishes a three-level fair value hierarchy that prioritizes the inputs into the valuation techniques used to measure fair value. The fair value hierarchy gives the highest priority, Level 1, to measurements based on unadjusted quoted prices in active markets for identical assets or liabilities. The next highest priority, Level 2, is given to measurements of assets and liabilities based on limited observable inputs or observable inputs for similar assets and liabilities. The lowest priority, Level 3, is given to measurements based on unobservable inputs.</w:t>
      </w:r>
    </w:p>
    <w:p>
      <w:pPr>
        <w:spacing w:after="0" w:line="4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See “Note 16, Fair Value” in our 2023 Form 10-K for information on the valuation control processes and the valuation techniques we use for fair value measurement and disclosure as well as our basis for classifying these measurements as Level 1, Level 2 or Level 3 of the valuation hierarchy in more specific situations. If the inputs used to measure assets or liabilities at fair value change, it may also result in a change in classification between Levels 1, 2, and 3. We made no material changes to the valuation control processes or the valuation techniques for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365125</wp:posOffset>
            </wp:positionV>
            <wp:extent cx="680593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48" w:right="399" w:bottom="1440" w:gutter="0" w:footer="0" w:header="0"/>
        </w:sectPr>
      </w:pPr>
    </w:p>
    <w:bookmarkStart w:id="105" w:name="page106"/>
    <w:bookmarkEnd w:id="105"/>
    <w:p>
      <w:pPr>
        <w:ind w:left="698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Recurring Changes in Fair Value</w:t>
      </w:r>
    </w:p>
    <w:p>
      <w:pPr>
        <w:spacing w:after="0" w:line="6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following tables display our assets and liabilities measured in our condensed consolidated balance sheets at fair value on a recurring basis subsequent to initial recognition, including instruments for which we have elected the fair value option.</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Recurring fair value measurements: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Assets: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Trading securities: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5622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Total trading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Available-for-sale securities:</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Agency</w:t>
      </w:r>
      <w:r>
        <w:rPr>
          <w:rFonts w:ascii="Arial" w:cs="Arial" w:eastAsia="Arial" w:hAnsi="Arial"/>
          <w:sz w:val="15"/>
          <w:szCs w:val="15"/>
          <w:color w:val="auto"/>
          <w:vertAlign w:val="superscript"/>
        </w:rPr>
        <w:t>(3)</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56222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available-for-sale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Mortgage loans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62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5622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Liabilities: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Fannie Mae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long-term debt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62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5622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Recurring fair value measurements: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Assets: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Trading securities: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5622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Total trading securities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Available-for-sale securities:</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Agency</w:t>
      </w:r>
      <w:r>
        <w:rPr>
          <w:rFonts w:ascii="Arial" w:cs="Arial" w:eastAsia="Arial" w:hAnsi="Arial"/>
          <w:sz w:val="15"/>
          <w:szCs w:val="15"/>
          <w:color w:val="auto"/>
          <w:vertAlign w:val="superscript"/>
        </w:rPr>
        <w:t>(3)</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5622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available-for-sale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Mortgage loans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562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56222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Liabilities: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Fannie Mae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long-term debt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62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5622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2260"/>
        <w:spacing w:after="0"/>
        <w:rPr>
          <w:sz w:val="20"/>
          <w:szCs w:val="20"/>
          <w:color w:val="auto"/>
        </w:rPr>
      </w:pPr>
      <w:r>
        <w:rPr>
          <w:rFonts w:ascii="Arial" w:cs="Arial" w:eastAsia="Arial" w:hAnsi="Arial"/>
          <w:sz w:val="12"/>
          <w:szCs w:val="12"/>
          <w:b w:val="1"/>
          <w:bCs w:val="1"/>
          <w:color w:val="auto"/>
        </w:rPr>
        <w:t>Fair Value Measurements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451040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Quoted Prices in</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Active Markets for</w:t>
            </w:r>
          </w:p>
        </w:tc>
        <w:tc>
          <w:tcPr>
            <w:tcW w:w="80" w:type="dxa"/>
            <w:vAlign w:val="bottom"/>
          </w:tcPr>
          <w:p>
            <w:pPr>
              <w:spacing w:after="0"/>
              <w:rPr>
                <w:sz w:val="12"/>
                <w:szCs w:val="12"/>
                <w:color w:val="auto"/>
              </w:rPr>
            </w:pPr>
          </w:p>
        </w:tc>
        <w:tc>
          <w:tcPr>
            <w:tcW w:w="1060" w:type="dxa"/>
            <w:vAlign w:val="bottom"/>
          </w:tcPr>
          <w:p>
            <w:pPr>
              <w:jc w:val="center"/>
              <w:ind w:right="40"/>
              <w:spacing w:after="0"/>
              <w:rPr>
                <w:sz w:val="20"/>
                <w:szCs w:val="20"/>
                <w:color w:val="auto"/>
              </w:rPr>
            </w:pPr>
            <w:r>
              <w:rPr>
                <w:rFonts w:ascii="Arial" w:cs="Arial" w:eastAsia="Arial" w:hAnsi="Arial"/>
                <w:sz w:val="12"/>
                <w:szCs w:val="12"/>
                <w:b w:val="1"/>
                <w:bCs w:val="1"/>
                <w:color w:val="auto"/>
                <w:w w:val="99"/>
              </w:rPr>
              <w:t>Significant Other</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Identical Assets</w:t>
            </w:r>
          </w:p>
        </w:tc>
        <w:tc>
          <w:tcPr>
            <w:tcW w:w="11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Observable Inputs</w:t>
            </w:r>
          </w:p>
        </w:tc>
        <w:tc>
          <w:tcPr>
            <w:tcW w:w="1580" w:type="dxa"/>
            <w:vAlign w:val="bottom"/>
            <w:gridSpan w:val="4"/>
          </w:tcPr>
          <w:p>
            <w:pPr>
              <w:jc w:val="center"/>
              <w:ind w:left="100"/>
              <w:spacing w:after="0"/>
              <w:rPr>
                <w:sz w:val="20"/>
                <w:szCs w:val="20"/>
                <w:color w:val="auto"/>
              </w:rPr>
            </w:pPr>
            <w:r>
              <w:rPr>
                <w:rFonts w:ascii="Arial" w:cs="Arial" w:eastAsia="Arial" w:hAnsi="Arial"/>
                <w:sz w:val="12"/>
                <w:szCs w:val="12"/>
                <w:b w:val="1"/>
                <w:bCs w:val="1"/>
                <w:color w:val="auto"/>
                <w:w w:val="99"/>
              </w:rPr>
              <w:t>Unobservable Inputs</w:t>
            </w:r>
          </w:p>
        </w:tc>
        <w:tc>
          <w:tcPr>
            <w:tcW w:w="146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380" w:type="dxa"/>
            <w:vAlign w:val="bottom"/>
            <w:gridSpan w:val="4"/>
            <w:vMerge w:val="restart"/>
          </w:tcPr>
          <w:p>
            <w:pPr>
              <w:ind w:left="12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93"/>
        </w:trPr>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gridSpan w:val="2"/>
          </w:tcPr>
          <w:p>
            <w:pPr>
              <w:jc w:val="center"/>
              <w:ind w:right="400"/>
              <w:spacing w:after="0"/>
              <w:rPr>
                <w:sz w:val="20"/>
                <w:szCs w:val="20"/>
                <w:color w:val="auto"/>
              </w:rPr>
            </w:pPr>
            <w:r>
              <w:rPr>
                <w:rFonts w:ascii="Arial" w:cs="Arial" w:eastAsia="Arial" w:hAnsi="Arial"/>
                <w:sz w:val="12"/>
                <w:szCs w:val="12"/>
                <w:b w:val="1"/>
                <w:bCs w:val="1"/>
                <w:color w:val="auto"/>
                <w:w w:val="98"/>
              </w:rPr>
              <w:t>(Level 1)</w:t>
            </w:r>
          </w:p>
        </w:tc>
        <w:tc>
          <w:tcPr>
            <w:tcW w:w="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center"/>
              <w:ind w:right="40"/>
              <w:spacing w:after="0"/>
              <w:rPr>
                <w:sz w:val="20"/>
                <w:szCs w:val="20"/>
                <w:color w:val="auto"/>
              </w:rPr>
            </w:pPr>
            <w:r>
              <w:rPr>
                <w:rFonts w:ascii="Arial" w:cs="Arial" w:eastAsia="Arial" w:hAnsi="Arial"/>
                <w:sz w:val="12"/>
                <w:szCs w:val="12"/>
                <w:b w:val="1"/>
                <w:bCs w:val="1"/>
                <w:color w:val="auto"/>
                <w:w w:val="98"/>
              </w:rPr>
              <w:t>(Level 2)</w:t>
            </w:r>
          </w:p>
        </w:tc>
        <w:tc>
          <w:tcPr>
            <w:tcW w:w="3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gridSpan w:val="2"/>
          </w:tcPr>
          <w:p>
            <w:pPr>
              <w:jc w:val="center"/>
              <w:ind w:right="320"/>
              <w:spacing w:after="0"/>
              <w:rPr>
                <w:sz w:val="20"/>
                <w:szCs w:val="20"/>
                <w:color w:val="auto"/>
              </w:rPr>
            </w:pPr>
            <w:r>
              <w:rPr>
                <w:rFonts w:ascii="Arial" w:cs="Arial" w:eastAsia="Arial" w:hAnsi="Arial"/>
                <w:sz w:val="12"/>
                <w:szCs w:val="12"/>
                <w:b w:val="1"/>
                <w:bCs w:val="1"/>
                <w:color w:val="auto"/>
              </w:rPr>
              <w:t>(Level 3)</w:t>
            </w:r>
          </w:p>
        </w:tc>
        <w:tc>
          <w:tcPr>
            <w:tcW w:w="1460" w:type="dxa"/>
            <w:vAlign w:val="bottom"/>
            <w:tcBorders>
              <w:bottom w:val="single" w:sz="8" w:color="2C6937"/>
            </w:tcBorders>
            <w:gridSpan w:val="4"/>
            <w:vMerge w:val="continue"/>
          </w:tcPr>
          <w:p>
            <w:pPr>
              <w:spacing w:after="0"/>
              <w:rPr>
                <w:sz w:val="16"/>
                <w:szCs w:val="16"/>
                <w:color w:val="auto"/>
              </w:rPr>
            </w:pPr>
          </w:p>
        </w:tc>
        <w:tc>
          <w:tcPr>
            <w:tcW w:w="1380" w:type="dxa"/>
            <w:vAlign w:val="bottom"/>
            <w:tcBorders>
              <w:bottom w:val="single" w:sz="8" w:color="2C6937"/>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(Dollars in millions)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0"/>
        </w:trPr>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1,295</w:t>
            </w: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32</w:t>
            </w:r>
          </w:p>
        </w:tc>
        <w:tc>
          <w:tcPr>
            <w:tcW w:w="140" w:type="dxa"/>
            <w:vAlign w:val="bottom"/>
          </w:tcPr>
          <w:p>
            <w:pPr>
              <w:spacing w:after="0"/>
              <w:rPr>
                <w:sz w:val="24"/>
                <w:szCs w:val="2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1,327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48,045</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48,065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48,045</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1,315</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49,392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315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46</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461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2,769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425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400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(290)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48,045</w:t>
            </w:r>
          </w:p>
        </w:tc>
        <w:tc>
          <w:tcPr>
            <w:tcW w:w="32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4,530</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1,027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jc w:val="right"/>
              <w:ind w:right="520"/>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(290)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53,312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1"/>
        </w:trPr>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274</w:t>
            </w: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270</w:t>
            </w:r>
          </w:p>
        </w:tc>
        <w:tc>
          <w:tcPr>
            <w:tcW w:w="140" w:type="dxa"/>
            <w:vAlign w:val="bottom"/>
          </w:tcPr>
          <w:p>
            <w:pPr>
              <w:spacing w:after="0"/>
              <w:rPr>
                <w:sz w:val="24"/>
                <w:szCs w:val="2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13,129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13,239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13,403</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380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13,783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3,092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(3,026)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16,495</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395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jc w:val="right"/>
              <w:ind w:right="520"/>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(3,026)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13,864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Borders>
              <w:bottom w:val="single" w:sz="8" w:color="2C6937"/>
            </w:tcBorders>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7"/>
        </w:trPr>
        <w:tc>
          <w:tcPr>
            <w:tcW w:w="10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040" w:type="dxa"/>
            <w:vAlign w:val="bottom"/>
            <w:tcBorders>
              <w:bottom w:val="single" w:sz="8" w:color="2C6937"/>
            </w:tcBorders>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3460" w:type="dxa"/>
            <w:vAlign w:val="bottom"/>
            <w:tcBorders>
              <w:bottom w:val="single" w:sz="8" w:color="2C6937"/>
            </w:tcBorders>
            <w:gridSpan w:val="7"/>
          </w:tcPr>
          <w:p>
            <w:pPr>
              <w:jc w:val="center"/>
              <w:ind w:left="360"/>
              <w:spacing w:after="0"/>
              <w:rPr>
                <w:sz w:val="20"/>
                <w:szCs w:val="20"/>
                <w:color w:val="auto"/>
              </w:rPr>
            </w:pPr>
            <w:r>
              <w:rPr>
                <w:rFonts w:ascii="Arial" w:cs="Arial" w:eastAsia="Arial" w:hAnsi="Arial"/>
                <w:sz w:val="12"/>
                <w:szCs w:val="12"/>
                <w:b w:val="1"/>
                <w:bCs w:val="1"/>
                <w:color w:val="auto"/>
              </w:rPr>
              <w:t>Fair Value Measurements as of December 31, 2023</w:t>
            </w:r>
          </w:p>
        </w:tc>
        <w:tc>
          <w:tcPr>
            <w:tcW w:w="48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Quoted Prices in</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Active Markets for</w:t>
            </w:r>
          </w:p>
        </w:tc>
        <w:tc>
          <w:tcPr>
            <w:tcW w:w="80" w:type="dxa"/>
            <w:vAlign w:val="bottom"/>
          </w:tcPr>
          <w:p>
            <w:pPr>
              <w:spacing w:after="0"/>
              <w:rPr>
                <w:sz w:val="13"/>
                <w:szCs w:val="13"/>
                <w:color w:val="auto"/>
              </w:rPr>
            </w:pPr>
          </w:p>
        </w:tc>
        <w:tc>
          <w:tcPr>
            <w:tcW w:w="1060" w:type="dxa"/>
            <w:vAlign w:val="bottom"/>
          </w:tcPr>
          <w:p>
            <w:pPr>
              <w:jc w:val="center"/>
              <w:ind w:right="40"/>
              <w:spacing w:after="0"/>
              <w:rPr>
                <w:sz w:val="20"/>
                <w:szCs w:val="20"/>
                <w:color w:val="auto"/>
              </w:rPr>
            </w:pPr>
            <w:r>
              <w:rPr>
                <w:rFonts w:ascii="Arial" w:cs="Arial" w:eastAsia="Arial" w:hAnsi="Arial"/>
                <w:sz w:val="12"/>
                <w:szCs w:val="12"/>
                <w:b w:val="1"/>
                <w:bCs w:val="1"/>
                <w:color w:val="auto"/>
                <w:w w:val="99"/>
              </w:rPr>
              <w:t>Significant Other</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center"/>
              <w:ind w:right="400"/>
              <w:spacing w:after="0" w:line="137" w:lineRule="exact"/>
              <w:rPr>
                <w:sz w:val="20"/>
                <w:szCs w:val="20"/>
                <w:color w:val="auto"/>
              </w:rPr>
            </w:pPr>
            <w:r>
              <w:rPr>
                <w:rFonts w:ascii="Arial" w:cs="Arial" w:eastAsia="Arial" w:hAnsi="Arial"/>
                <w:sz w:val="12"/>
                <w:szCs w:val="12"/>
                <w:b w:val="1"/>
                <w:bCs w:val="1"/>
                <w:color w:val="auto"/>
              </w:rPr>
              <w:t>Identical Assets</w:t>
            </w:r>
          </w:p>
        </w:tc>
        <w:tc>
          <w:tcPr>
            <w:tcW w:w="114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w w:val="99"/>
              </w:rPr>
              <w:t>Observable Inputs</w:t>
            </w:r>
          </w:p>
        </w:tc>
        <w:tc>
          <w:tcPr>
            <w:tcW w:w="1580" w:type="dxa"/>
            <w:vAlign w:val="bottom"/>
            <w:gridSpan w:val="4"/>
          </w:tcPr>
          <w:p>
            <w:pPr>
              <w:jc w:val="center"/>
              <w:ind w:left="100"/>
              <w:spacing w:after="0" w:line="137" w:lineRule="exact"/>
              <w:rPr>
                <w:sz w:val="20"/>
                <w:szCs w:val="20"/>
                <w:color w:val="auto"/>
              </w:rPr>
            </w:pPr>
            <w:r>
              <w:rPr>
                <w:rFonts w:ascii="Arial" w:cs="Arial" w:eastAsia="Arial" w:hAnsi="Arial"/>
                <w:sz w:val="12"/>
                <w:szCs w:val="12"/>
                <w:b w:val="1"/>
                <w:bCs w:val="1"/>
                <w:color w:val="auto"/>
                <w:w w:val="99"/>
              </w:rPr>
              <w:t>Unobservable Inputs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gridSpan w:val="2"/>
          </w:tcPr>
          <w:p>
            <w:pPr>
              <w:jc w:val="center"/>
              <w:ind w:right="400"/>
              <w:spacing w:after="0"/>
              <w:rPr>
                <w:sz w:val="20"/>
                <w:szCs w:val="20"/>
                <w:color w:val="auto"/>
              </w:rPr>
            </w:pPr>
            <w:r>
              <w:rPr>
                <w:rFonts w:ascii="Arial" w:cs="Arial" w:eastAsia="Arial" w:hAnsi="Arial"/>
                <w:sz w:val="12"/>
                <w:szCs w:val="12"/>
                <w:b w:val="1"/>
                <w:bCs w:val="1"/>
                <w:color w:val="auto"/>
                <w:w w:val="98"/>
              </w:rPr>
              <w:t>(Level 1)</w:t>
            </w:r>
          </w:p>
        </w:tc>
        <w:tc>
          <w:tcPr>
            <w:tcW w:w="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center"/>
              <w:ind w:right="40"/>
              <w:spacing w:after="0"/>
              <w:rPr>
                <w:sz w:val="20"/>
                <w:szCs w:val="20"/>
                <w:color w:val="auto"/>
              </w:rPr>
            </w:pPr>
            <w:r>
              <w:rPr>
                <w:rFonts w:ascii="Arial" w:cs="Arial" w:eastAsia="Arial" w:hAnsi="Arial"/>
                <w:sz w:val="12"/>
                <w:szCs w:val="12"/>
                <w:b w:val="1"/>
                <w:bCs w:val="1"/>
                <w:color w:val="auto"/>
                <w:w w:val="98"/>
              </w:rPr>
              <w:t>(Level 2)</w:t>
            </w:r>
          </w:p>
        </w:tc>
        <w:tc>
          <w:tcPr>
            <w:tcW w:w="3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gridSpan w:val="2"/>
          </w:tcPr>
          <w:p>
            <w:pPr>
              <w:jc w:val="center"/>
              <w:ind w:right="320"/>
              <w:spacing w:after="0"/>
              <w:rPr>
                <w:sz w:val="20"/>
                <w:szCs w:val="20"/>
                <w:color w:val="auto"/>
              </w:rPr>
            </w:pPr>
            <w:r>
              <w:rPr>
                <w:rFonts w:ascii="Arial" w:cs="Arial" w:eastAsia="Arial" w:hAnsi="Arial"/>
                <w:sz w:val="12"/>
                <w:szCs w:val="12"/>
                <w:b w:val="1"/>
                <w:bCs w:val="1"/>
                <w:color w:val="auto"/>
              </w:rPr>
              <w:t>(Level 3)</w:t>
            </w:r>
          </w:p>
        </w:tc>
        <w:tc>
          <w:tcPr>
            <w:tcW w:w="1460" w:type="dxa"/>
            <w:vAlign w:val="bottom"/>
            <w:tcBorders>
              <w:bottom w:val="single" w:sz="8" w:color="2C6937"/>
            </w:tcBorders>
            <w:gridSpan w:val="4"/>
          </w:tcPr>
          <w:p>
            <w:pPr>
              <w:ind w:left="120"/>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380" w:type="dxa"/>
            <w:vAlign w:val="bottom"/>
            <w:tcBorders>
              <w:bottom w:val="single" w:sz="8" w:color="2C6937"/>
            </w:tcBorders>
            <w:gridSpan w:val="4"/>
          </w:tcPr>
          <w:p>
            <w:pPr>
              <w:ind w:left="12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(Dollars in millions)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0"/>
        </w:trPr>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4,744</w:t>
            </w: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w:t>
            </w:r>
          </w:p>
        </w:tc>
        <w:tc>
          <w:tcPr>
            <w:tcW w:w="140" w:type="dxa"/>
            <w:vAlign w:val="bottom"/>
          </w:tcPr>
          <w:p>
            <w:pPr>
              <w:spacing w:after="0"/>
              <w:rPr>
                <w:sz w:val="24"/>
                <w:szCs w:val="2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4,770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47,764</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47,782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47,764</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4,762</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26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52,552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46</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50</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514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2,838</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477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395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(283)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47,764</w:t>
            </w:r>
          </w:p>
        </w:tc>
        <w:tc>
          <w:tcPr>
            <w:tcW w:w="32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8,045</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1,107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jc w:val="right"/>
              <w:ind w:right="520"/>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(283)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56,633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1"/>
        </w:trPr>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493</w:t>
            </w: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268</w:t>
            </w:r>
          </w:p>
        </w:tc>
        <w:tc>
          <w:tcPr>
            <w:tcW w:w="140" w:type="dxa"/>
            <w:vAlign w:val="bottom"/>
          </w:tcPr>
          <w:p>
            <w:pPr>
              <w:spacing w:after="0"/>
              <w:rPr>
                <w:sz w:val="24"/>
                <w:szCs w:val="2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14,226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14,343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14,719</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385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15,104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3,327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(3,200)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18,046</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398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jc w:val="right"/>
              <w:ind w:right="520"/>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(3,200)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15,244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-2233295</wp:posOffset>
            </wp:positionH>
            <wp:positionV relativeFrom="paragraph">
              <wp:posOffset>441960</wp:posOffset>
            </wp:positionV>
            <wp:extent cx="680593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20" w:space="720"/>
            <w:col w:w="7100"/>
          </w:cols>
          <w:pgMar w:left="320" w:top="248" w:right="33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06" w:name="page107"/>
    <w:bookmarkEnd w:id="106"/>
    <w:p>
      <w:pPr>
        <w:ind w:left="698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right="660" w:hanging="237"/>
        <w:spacing w:after="0" w:line="226" w:lineRule="auto"/>
        <w:tabs>
          <w:tab w:leader="none" w:pos="233" w:val="left"/>
        </w:tabs>
        <w:numPr>
          <w:ilvl w:val="0"/>
          <w:numId w:val="124"/>
        </w:numPr>
        <w:rPr>
          <w:rFonts w:ascii="Arial" w:cs="Arial" w:eastAsia="Arial" w:hAnsi="Arial"/>
          <w:sz w:val="18"/>
          <w:szCs w:val="18"/>
          <w:color w:val="auto"/>
          <w:vertAlign w:val="superscript"/>
        </w:rPr>
      </w:pPr>
      <w:r>
        <w:rPr>
          <w:rFonts w:ascii="Arial" w:cs="Arial" w:eastAsia="Arial" w:hAnsi="Arial"/>
          <w:sz w:val="14"/>
          <w:szCs w:val="14"/>
          <w:color w:val="auto"/>
        </w:rPr>
        <w:t>Derivative contracts are reported on a gross basis by level. The netting adjustment represents the effect of the legal right to offset under legally enforceable master netting arrangements to settle with the same counterparty on a net basis, including cash collateral posted and received.</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24"/>
        </w:numPr>
        <w:rPr>
          <w:rFonts w:ascii="Arial" w:cs="Arial" w:eastAsia="Arial" w:hAnsi="Arial"/>
          <w:sz w:val="18"/>
          <w:szCs w:val="18"/>
          <w:color w:val="auto"/>
          <w:vertAlign w:val="superscript"/>
        </w:rPr>
      </w:pPr>
      <w:r>
        <w:rPr>
          <w:rFonts w:ascii="Arial" w:cs="Arial" w:eastAsia="Arial" w:hAnsi="Arial"/>
          <w:sz w:val="14"/>
          <w:szCs w:val="14"/>
          <w:color w:val="auto"/>
        </w:rPr>
        <w:t>Primarily includes U.S. Treasury securities.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124"/>
        </w:numPr>
        <w:rPr>
          <w:rFonts w:ascii="Arial" w:cs="Arial" w:eastAsia="Arial" w:hAnsi="Arial"/>
          <w:sz w:val="18"/>
          <w:szCs w:val="18"/>
          <w:color w:val="auto"/>
          <w:vertAlign w:val="superscript"/>
        </w:rPr>
      </w:pPr>
      <w:r>
        <w:rPr>
          <w:rFonts w:ascii="Arial" w:cs="Arial" w:eastAsia="Arial" w:hAnsi="Arial"/>
          <w:sz w:val="14"/>
          <w:szCs w:val="14"/>
          <w:color w:val="auto"/>
        </w:rPr>
        <w:t>Agency securities consist of securities issued by Fannie Mae, Freddie Mac, and Ginnie Mae.</w:t>
      </w:r>
    </w:p>
    <w:p>
      <w:pPr>
        <w:spacing w:after="0" w:line="6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following tables display a reconciliation of all assets and liabilities measured at fair value on a recurring basis using significant unobservable inputs (Level 3). The tables also display gains and losses due to changes in fair value, including both realized and unrealized gains and losses, recognized in our condensed consolidated statements of operations and comprehensive income for Level 3 assets and liabilities.</w:t>
      </w:r>
    </w:p>
    <w:p>
      <w:pPr>
        <w:spacing w:after="0" w:line="114" w:lineRule="exact"/>
        <w:rPr>
          <w:sz w:val="20"/>
          <w:szCs w:val="20"/>
          <w:color w:val="auto"/>
        </w:rPr>
      </w:pPr>
    </w:p>
    <w:p>
      <w:pPr>
        <w:jc w:val="center"/>
        <w:ind w:left="138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45" w:lineRule="exact"/>
        <w:rPr>
          <w:sz w:val="20"/>
          <w:szCs w:val="20"/>
          <w:color w:val="auto"/>
        </w:rPr>
      </w:pPr>
    </w:p>
    <w:p>
      <w:pPr>
        <w:jc w:val="center"/>
        <w:ind w:left="1380"/>
        <w:spacing w:after="0"/>
        <w:rPr>
          <w:sz w:val="20"/>
          <w:szCs w:val="20"/>
          <w:color w:val="auto"/>
        </w:rPr>
      </w:pPr>
      <w:r>
        <w:rPr>
          <w:rFonts w:ascii="Arial" w:cs="Arial" w:eastAsia="Arial" w:hAnsi="Arial"/>
          <w:sz w:val="14"/>
          <w:szCs w:val="14"/>
          <w:b w:val="1"/>
          <w:bCs w:val="1"/>
          <w:color w:val="auto"/>
        </w:rPr>
        <w:t>For the 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18415</wp:posOffset>
            </wp:positionV>
            <wp:extent cx="620522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20522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Net Unrealized</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5"/>
          </w:tcPr>
          <w:p>
            <w:pPr>
              <w:ind w:left="120"/>
              <w:spacing w:after="0"/>
              <w:rPr>
                <w:sz w:val="20"/>
                <w:szCs w:val="20"/>
                <w:color w:val="auto"/>
              </w:rPr>
            </w:pPr>
            <w:r>
              <w:rPr>
                <w:rFonts w:ascii="Arial" w:cs="Arial" w:eastAsia="Arial" w:hAnsi="Arial"/>
                <w:sz w:val="9"/>
                <w:szCs w:val="9"/>
                <w:b w:val="1"/>
                <w:bCs w:val="1"/>
                <w:color w:val="auto"/>
              </w:rPr>
              <w:t>Total Gains (Losses)</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6"/>
              </w:rPr>
              <w:t>Gains (Losses)</w:t>
            </w:r>
          </w:p>
        </w:tc>
        <w:tc>
          <w:tcPr>
            <w:tcW w:w="80" w:type="dxa"/>
            <w:vAlign w:val="bottom"/>
          </w:tcPr>
          <w:p>
            <w:pPr>
              <w:spacing w:after="0"/>
              <w:rPr>
                <w:sz w:val="9"/>
                <w:szCs w:val="9"/>
                <w:color w:val="auto"/>
              </w:rPr>
            </w:pPr>
          </w:p>
        </w:tc>
        <w:tc>
          <w:tcPr>
            <w:tcW w:w="800" w:type="dxa"/>
            <w:vAlign w:val="bottom"/>
          </w:tcPr>
          <w:p>
            <w:pPr>
              <w:jc w:val="center"/>
              <w:ind w:right="29"/>
              <w:spacing w:after="0"/>
              <w:rPr>
                <w:sz w:val="20"/>
                <w:szCs w:val="20"/>
                <w:color w:val="auto"/>
              </w:rPr>
            </w:pPr>
            <w:r>
              <w:rPr>
                <w:rFonts w:ascii="Arial" w:cs="Arial" w:eastAsia="Arial" w:hAnsi="Arial"/>
                <w:sz w:val="9"/>
                <w:szCs w:val="9"/>
                <w:b w:val="1"/>
                <w:bCs w:val="1"/>
                <w:color w:val="auto"/>
                <w:w w:val="95"/>
              </w:rPr>
              <w:t>Net Unrealized</w:t>
            </w:r>
          </w:p>
        </w:tc>
        <w:tc>
          <w:tcPr>
            <w:tcW w:w="0" w:type="dxa"/>
            <w:vAlign w:val="bottom"/>
          </w:tcPr>
          <w:p>
            <w:pPr>
              <w:spacing w:after="0"/>
              <w:rPr>
                <w:sz w:val="1"/>
                <w:szCs w:val="1"/>
                <w:color w:val="auto"/>
              </w:rPr>
            </w:pPr>
          </w:p>
        </w:tc>
      </w:tr>
      <w:tr>
        <w:trPr>
          <w:trHeight w:val="95"/>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gridSpan w:val="5"/>
          </w:tcPr>
          <w:p>
            <w:pPr>
              <w:ind w:left="100"/>
              <w:spacing w:after="0" w:line="95" w:lineRule="exact"/>
              <w:rPr>
                <w:sz w:val="20"/>
                <w:szCs w:val="20"/>
                <w:color w:val="auto"/>
              </w:rPr>
            </w:pPr>
            <w:r>
              <w:rPr>
                <w:rFonts w:ascii="Arial" w:cs="Arial" w:eastAsia="Arial" w:hAnsi="Arial"/>
                <w:sz w:val="9"/>
                <w:szCs w:val="9"/>
                <w:b w:val="1"/>
                <w:bCs w:val="1"/>
                <w:color w:val="auto"/>
              </w:rPr>
              <w:t>(Realized/Unrealized)</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96"/>
              </w:rPr>
              <w:t>Included in Net</w:t>
            </w:r>
          </w:p>
        </w:tc>
        <w:tc>
          <w:tcPr>
            <w:tcW w:w="80" w:type="dxa"/>
            <w:vAlign w:val="bottom"/>
          </w:tcPr>
          <w:p>
            <w:pPr>
              <w:spacing w:after="0"/>
              <w:rPr>
                <w:sz w:val="8"/>
                <w:szCs w:val="8"/>
                <w:color w:val="auto"/>
              </w:rPr>
            </w:pPr>
          </w:p>
        </w:tc>
        <w:tc>
          <w:tcPr>
            <w:tcW w:w="800" w:type="dxa"/>
            <w:vAlign w:val="bottom"/>
          </w:tcPr>
          <w:p>
            <w:pPr>
              <w:jc w:val="center"/>
              <w:ind w:right="9"/>
              <w:spacing w:after="0" w:line="95" w:lineRule="exact"/>
              <w:rPr>
                <w:sz w:val="20"/>
                <w:szCs w:val="20"/>
                <w:color w:val="auto"/>
              </w:rPr>
            </w:pPr>
            <w:r>
              <w:rPr>
                <w:rFonts w:ascii="Arial" w:cs="Arial" w:eastAsia="Arial" w:hAnsi="Arial"/>
                <w:sz w:val="9"/>
                <w:szCs w:val="9"/>
                <w:b w:val="1"/>
                <w:bCs w:val="1"/>
                <w:color w:val="auto"/>
                <w:w w:val="96"/>
              </w:rPr>
              <w:t>Gains (Losses)</w:t>
            </w:r>
          </w:p>
        </w:tc>
        <w:tc>
          <w:tcPr>
            <w:tcW w:w="0" w:type="dxa"/>
            <w:vAlign w:val="bottom"/>
          </w:tcPr>
          <w:p>
            <w:pPr>
              <w:spacing w:after="0"/>
              <w:rPr>
                <w:sz w:val="1"/>
                <w:szCs w:val="1"/>
                <w:color w:val="auto"/>
              </w:rPr>
            </w:pPr>
          </w:p>
        </w:tc>
      </w:tr>
      <w:tr>
        <w:trPr>
          <w:trHeight w:val="47"/>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80" w:type="dxa"/>
            <w:vAlign w:val="bottom"/>
            <w:tcBorders>
              <w:bottom w:val="single" w:sz="8" w:color="2C6937"/>
            </w:tcBorders>
          </w:tcPr>
          <w:p>
            <w:pPr>
              <w:spacing w:after="0"/>
              <w:rPr>
                <w:sz w:val="4"/>
                <w:szCs w:val="4"/>
                <w:color w:val="auto"/>
              </w:rPr>
            </w:pPr>
          </w:p>
        </w:tc>
        <w:tc>
          <w:tcPr>
            <w:tcW w:w="480" w:type="dxa"/>
            <w:vAlign w:val="bottom"/>
            <w:tcBorders>
              <w:bottom w:val="single" w:sz="8" w:color="2C6937"/>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9"/>
                <w:szCs w:val="9"/>
                <w:b w:val="1"/>
                <w:bCs w:val="1"/>
                <w:color w:val="auto"/>
                <w:w w:val="95"/>
              </w:rPr>
              <w:t>Income Related to</w:t>
            </w:r>
          </w:p>
        </w:tc>
        <w:tc>
          <w:tcPr>
            <w:tcW w:w="80" w:type="dxa"/>
            <w:vAlign w:val="bottom"/>
          </w:tcPr>
          <w:p>
            <w:pPr>
              <w:spacing w:after="0"/>
              <w:rPr>
                <w:sz w:val="4"/>
                <w:szCs w:val="4"/>
                <w:color w:val="auto"/>
              </w:rPr>
            </w:pPr>
          </w:p>
        </w:tc>
        <w:tc>
          <w:tcPr>
            <w:tcW w:w="800" w:type="dxa"/>
            <w:vAlign w:val="bottom"/>
            <w:vMerge w:val="restart"/>
          </w:tcPr>
          <w:p>
            <w:pPr>
              <w:jc w:val="center"/>
              <w:ind w:right="9"/>
              <w:spacing w:after="0"/>
              <w:rPr>
                <w:sz w:val="20"/>
                <w:szCs w:val="20"/>
                <w:color w:val="auto"/>
              </w:rPr>
            </w:pPr>
            <w:r>
              <w:rPr>
                <w:rFonts w:ascii="Arial" w:cs="Arial" w:eastAsia="Arial" w:hAnsi="Arial"/>
                <w:sz w:val="9"/>
                <w:szCs w:val="9"/>
                <w:b w:val="1"/>
                <w:bCs w:val="1"/>
                <w:color w:val="auto"/>
                <w:w w:val="93"/>
              </w:rPr>
              <w:t>Included in OCI</w:t>
            </w:r>
          </w:p>
        </w:tc>
        <w:tc>
          <w:tcPr>
            <w:tcW w:w="0" w:type="dxa"/>
            <w:vAlign w:val="bottom"/>
          </w:tcPr>
          <w:p>
            <w:pPr>
              <w:spacing w:after="0"/>
              <w:rPr>
                <w:sz w:val="1"/>
                <w:szCs w:val="1"/>
                <w:color w:val="auto"/>
              </w:rPr>
            </w:pPr>
          </w:p>
        </w:tc>
      </w:tr>
      <w:tr>
        <w:trPr>
          <w:trHeight w:val="36"/>
        </w:trPr>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Assets and</w:t>
            </w:r>
          </w:p>
        </w:tc>
        <w:tc>
          <w:tcPr>
            <w:tcW w:w="80" w:type="dxa"/>
            <w:vAlign w:val="bottom"/>
          </w:tcPr>
          <w:p>
            <w:pPr>
              <w:spacing w:after="0"/>
              <w:rPr>
                <w:sz w:val="8"/>
                <w:szCs w:val="8"/>
                <w:color w:val="auto"/>
              </w:rPr>
            </w:pPr>
          </w:p>
        </w:tc>
        <w:tc>
          <w:tcPr>
            <w:tcW w:w="800" w:type="dxa"/>
            <w:vAlign w:val="bottom"/>
          </w:tcPr>
          <w:p>
            <w:pPr>
              <w:jc w:val="center"/>
              <w:ind w:right="29"/>
              <w:spacing w:after="0"/>
              <w:rPr>
                <w:sz w:val="20"/>
                <w:szCs w:val="20"/>
                <w:color w:val="auto"/>
              </w:rPr>
            </w:pPr>
            <w:r>
              <w:rPr>
                <w:rFonts w:ascii="Arial" w:cs="Arial" w:eastAsia="Arial" w:hAnsi="Arial"/>
                <w:sz w:val="9"/>
                <w:szCs w:val="9"/>
                <w:b w:val="1"/>
                <w:bCs w:val="1"/>
                <w:color w:val="auto"/>
                <w:w w:val="95"/>
              </w:rPr>
              <w:t>Related to Assets</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6"/>
              </w:rPr>
              <w:t>Included in</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9"/>
                <w:szCs w:val="9"/>
                <w:b w:val="1"/>
                <w:bCs w:val="1"/>
                <w:color w:val="auto"/>
                <w:w w:val="94"/>
              </w:rPr>
              <w:t>Liabilities Still Held</w:t>
            </w: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3"/>
              </w:rPr>
              <w:t>and Liabilities Still</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3"/>
          </w:tcPr>
          <w:p>
            <w:pPr>
              <w:ind w:left="20"/>
              <w:spacing w:after="0"/>
              <w:rPr>
                <w:sz w:val="20"/>
                <w:szCs w:val="20"/>
                <w:color w:val="auto"/>
              </w:rPr>
            </w:pPr>
            <w:r>
              <w:rPr>
                <w:rFonts w:ascii="Arial" w:cs="Arial" w:eastAsia="Arial" w:hAnsi="Arial"/>
                <w:sz w:val="9"/>
                <w:szCs w:val="9"/>
                <w:b w:val="1"/>
                <w:bCs w:val="1"/>
                <w:color w:val="auto"/>
              </w:rPr>
              <w:t>Balance, March 31,</w:t>
            </w:r>
          </w:p>
        </w:tc>
        <w:tc>
          <w:tcPr>
            <w:tcW w:w="560" w:type="dxa"/>
            <w:vAlign w:val="bottom"/>
            <w:gridSpan w:val="2"/>
          </w:tcPr>
          <w:p>
            <w:pPr>
              <w:jc w:val="right"/>
              <w:ind w:right="9"/>
              <w:spacing w:after="0"/>
              <w:rPr>
                <w:sz w:val="20"/>
                <w:szCs w:val="20"/>
                <w:color w:val="auto"/>
              </w:rPr>
            </w:pPr>
            <w:r>
              <w:rPr>
                <w:rFonts w:ascii="Arial" w:cs="Arial" w:eastAsia="Arial" w:hAnsi="Arial"/>
                <w:sz w:val="9"/>
                <w:szCs w:val="9"/>
                <w:b w:val="1"/>
                <w:bCs w:val="1"/>
                <w:color w:val="auto"/>
              </w:rPr>
              <w:t>Included in</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4"/>
              </w:rPr>
              <w:t>Total OCI</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3"/>
              </w:rPr>
              <w:t>Transfers out</w:t>
            </w:r>
          </w:p>
        </w:tc>
        <w:tc>
          <w:tcPr>
            <w:tcW w:w="740" w:type="dxa"/>
            <w:vAlign w:val="bottom"/>
            <w:gridSpan w:val="3"/>
          </w:tcPr>
          <w:p>
            <w:pPr>
              <w:ind w:left="40"/>
              <w:spacing w:after="0"/>
              <w:rPr>
                <w:sz w:val="20"/>
                <w:szCs w:val="20"/>
                <w:color w:val="auto"/>
              </w:rPr>
            </w:pPr>
            <w:r>
              <w:rPr>
                <w:rFonts w:ascii="Arial" w:cs="Arial" w:eastAsia="Arial" w:hAnsi="Arial"/>
                <w:sz w:val="9"/>
                <w:szCs w:val="9"/>
                <w:b w:val="1"/>
                <w:bCs w:val="1"/>
                <w:color w:val="auto"/>
              </w:rPr>
              <w:t>Transfers into</w:t>
            </w:r>
          </w:p>
        </w:tc>
        <w:tc>
          <w:tcPr>
            <w:tcW w:w="920" w:type="dxa"/>
            <w:vAlign w:val="bottom"/>
            <w:gridSpan w:val="3"/>
          </w:tcPr>
          <w:p>
            <w:pPr>
              <w:ind w:left="60"/>
              <w:spacing w:after="0"/>
              <w:rPr>
                <w:sz w:val="20"/>
                <w:szCs w:val="20"/>
                <w:color w:val="auto"/>
              </w:rPr>
            </w:pPr>
            <w:r>
              <w:rPr>
                <w:rFonts w:ascii="Arial" w:cs="Arial" w:eastAsia="Arial" w:hAnsi="Arial"/>
                <w:sz w:val="9"/>
                <w:szCs w:val="9"/>
                <w:b w:val="1"/>
                <w:bCs w:val="1"/>
                <w:color w:val="auto"/>
              </w:rPr>
              <w:t>Balance, June 30,</w:t>
            </w:r>
          </w:p>
        </w:tc>
        <w:tc>
          <w:tcPr>
            <w:tcW w:w="100" w:type="dxa"/>
            <w:vAlign w:val="bottom"/>
          </w:tcPr>
          <w:p>
            <w:pPr>
              <w:spacing w:after="0"/>
              <w:rPr>
                <w:sz w:val="8"/>
                <w:szCs w:val="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7"/>
              </w:rPr>
              <w:t>as of June 30,</w:t>
            </w: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5"/>
              </w:rPr>
              <w:t>Held as of June 30,</w:t>
            </w: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2C6937"/>
            </w:tcBorders>
          </w:tcPr>
          <w:p>
            <w:pPr>
              <w:spacing w:after="0"/>
              <w:rPr>
                <w:sz w:val="11"/>
                <w:szCs w:val="11"/>
                <w:color w:val="auto"/>
              </w:rPr>
            </w:pPr>
          </w:p>
        </w:tc>
        <w:tc>
          <w:tcPr>
            <w:tcW w:w="620" w:type="dxa"/>
            <w:vAlign w:val="bottom"/>
            <w:tcBorders>
              <w:bottom w:val="single" w:sz="8" w:color="2C6937"/>
            </w:tcBorders>
          </w:tcPr>
          <w:p>
            <w:pPr>
              <w:jc w:val="right"/>
              <w:ind w:right="245"/>
              <w:spacing w:after="0"/>
              <w:rPr>
                <w:sz w:val="20"/>
                <w:szCs w:val="20"/>
                <w:color w:val="auto"/>
              </w:rPr>
            </w:pPr>
            <w:r>
              <w:rPr>
                <w:rFonts w:ascii="Arial" w:cs="Arial" w:eastAsia="Arial" w:hAnsi="Arial"/>
                <w:sz w:val="9"/>
                <w:szCs w:val="9"/>
                <w:b w:val="1"/>
                <w:bCs w:val="1"/>
                <w:color w:val="auto"/>
              </w:rPr>
              <w:t>2024</w:t>
            </w:r>
          </w:p>
        </w:tc>
        <w:tc>
          <w:tcPr>
            <w:tcW w:w="100" w:type="dxa"/>
            <w:vAlign w:val="bottom"/>
            <w:tcBorders>
              <w:bottom w:val="single" w:sz="8" w:color="2C6937"/>
            </w:tcBorders>
          </w:tcPr>
          <w:p>
            <w:pPr>
              <w:spacing w:after="0"/>
              <w:rPr>
                <w:sz w:val="11"/>
                <w:szCs w:val="11"/>
                <w:color w:val="auto"/>
              </w:rPr>
            </w:pPr>
          </w:p>
        </w:tc>
        <w:tc>
          <w:tcPr>
            <w:tcW w:w="560" w:type="dxa"/>
            <w:vAlign w:val="bottom"/>
            <w:tcBorders>
              <w:bottom w:val="single" w:sz="8" w:color="2C6937"/>
            </w:tcBorders>
            <w:gridSpan w:val="2"/>
          </w:tcPr>
          <w:p>
            <w:pPr>
              <w:jc w:val="right"/>
              <w:spacing w:after="0"/>
              <w:rPr>
                <w:sz w:val="20"/>
                <w:szCs w:val="20"/>
                <w:color w:val="auto"/>
              </w:rPr>
            </w:pPr>
            <w:r>
              <w:rPr>
                <w:rFonts w:ascii="Arial" w:cs="Arial" w:eastAsia="Arial" w:hAnsi="Arial"/>
                <w:sz w:val="9"/>
                <w:szCs w:val="9"/>
                <w:b w:val="1"/>
                <w:bCs w:val="1"/>
                <w:color w:val="auto"/>
              </w:rPr>
              <w:t>Net Income</w:t>
            </w:r>
          </w:p>
        </w:tc>
        <w:tc>
          <w:tcPr>
            <w:tcW w:w="360" w:type="dxa"/>
            <w:vAlign w:val="bottom"/>
            <w:tcBorders>
              <w:bottom w:val="single" w:sz="8" w:color="2C6937"/>
            </w:tcBorders>
          </w:tcPr>
          <w:p>
            <w:pPr>
              <w:spacing w:after="0"/>
              <w:rPr>
                <w:sz w:val="11"/>
                <w:szCs w:val="11"/>
                <w:color w:val="auto"/>
              </w:rPr>
            </w:pPr>
          </w:p>
        </w:tc>
        <w:tc>
          <w:tcPr>
            <w:tcW w:w="80" w:type="dxa"/>
            <w:vAlign w:val="bottom"/>
            <w:tcBorders>
              <w:bottom w:val="single" w:sz="8" w:color="2C6937"/>
            </w:tcBorders>
          </w:tcPr>
          <w:p>
            <w:pPr>
              <w:spacing w:after="0"/>
              <w:rPr>
                <w:sz w:val="11"/>
                <w:szCs w:val="11"/>
                <w:color w:val="auto"/>
              </w:rPr>
            </w:pPr>
          </w:p>
        </w:tc>
        <w:tc>
          <w:tcPr>
            <w:tcW w:w="58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9"/>
                <w:szCs w:val="9"/>
                <w:b w:val="1"/>
                <w:bCs w:val="1"/>
                <w:color w:val="auto"/>
                <w:w w:val="88"/>
              </w:rPr>
              <w:t>(Loss)</w:t>
            </w:r>
            <w:r>
              <w:rPr>
                <w:rFonts w:ascii="Arial" w:cs="Arial" w:eastAsia="Arial" w:hAnsi="Arial"/>
                <w:sz w:val="11"/>
                <w:szCs w:val="11"/>
                <w:b w:val="1"/>
                <w:bCs w:val="1"/>
                <w:color w:val="auto"/>
                <w:w w:val="88"/>
                <w:vertAlign w:val="superscript"/>
              </w:rPr>
              <w:t>(1)</w:t>
            </w:r>
          </w:p>
        </w:tc>
        <w:tc>
          <w:tcPr>
            <w:tcW w:w="100" w:type="dxa"/>
            <w:vAlign w:val="bottom"/>
            <w:tcBorders>
              <w:bottom w:val="single" w:sz="8" w:color="2C6937"/>
            </w:tcBorders>
          </w:tcPr>
          <w:p>
            <w:pPr>
              <w:spacing w:after="0"/>
              <w:rPr>
                <w:sz w:val="11"/>
                <w:szCs w:val="11"/>
                <w:color w:val="auto"/>
              </w:rPr>
            </w:pPr>
          </w:p>
        </w:tc>
        <w:tc>
          <w:tcPr>
            <w:tcW w:w="76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Purchases</w:t>
            </w:r>
            <w:r>
              <w:rPr>
                <w:rFonts w:ascii="Arial" w:cs="Arial" w:eastAsia="Arial" w:hAnsi="Arial"/>
                <w:sz w:val="11"/>
                <w:szCs w:val="11"/>
                <w:b w:val="1"/>
                <w:bCs w:val="1"/>
                <w:color w:val="auto"/>
                <w:vertAlign w:val="superscript"/>
              </w:rPr>
              <w:t>(2)</w:t>
            </w:r>
          </w:p>
        </w:tc>
        <w:tc>
          <w:tcPr>
            <w:tcW w:w="100" w:type="dxa"/>
            <w:vAlign w:val="bottom"/>
            <w:tcBorders>
              <w:bottom w:val="single" w:sz="8" w:color="2C6937"/>
            </w:tcBorders>
          </w:tcPr>
          <w:p>
            <w:pPr>
              <w:spacing w:after="0"/>
              <w:rPr>
                <w:sz w:val="11"/>
                <w:szCs w:val="11"/>
                <w:color w:val="auto"/>
              </w:rPr>
            </w:pPr>
          </w:p>
        </w:tc>
        <w:tc>
          <w:tcPr>
            <w:tcW w:w="52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Sales</w:t>
            </w:r>
            <w:r>
              <w:rPr>
                <w:rFonts w:ascii="Arial" w:cs="Arial" w:eastAsia="Arial" w:hAnsi="Arial"/>
                <w:sz w:val="11"/>
                <w:szCs w:val="11"/>
                <w:b w:val="1"/>
                <w:bCs w:val="1"/>
                <w:color w:val="auto"/>
                <w:vertAlign w:val="superscript"/>
              </w:rPr>
              <w:t>(2)</w:t>
            </w:r>
          </w:p>
        </w:tc>
        <w:tc>
          <w:tcPr>
            <w:tcW w:w="100" w:type="dxa"/>
            <w:vAlign w:val="bottom"/>
            <w:tcBorders>
              <w:bottom w:val="single" w:sz="8" w:color="2C6937"/>
            </w:tcBorders>
          </w:tcPr>
          <w:p>
            <w:pPr>
              <w:spacing w:after="0"/>
              <w:rPr>
                <w:sz w:val="11"/>
                <w:szCs w:val="11"/>
                <w:color w:val="auto"/>
              </w:rPr>
            </w:pPr>
          </w:p>
        </w:tc>
        <w:tc>
          <w:tcPr>
            <w:tcW w:w="56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Issues</w:t>
            </w:r>
            <w:r>
              <w:rPr>
                <w:rFonts w:ascii="Arial" w:cs="Arial" w:eastAsia="Arial" w:hAnsi="Arial"/>
                <w:sz w:val="11"/>
                <w:szCs w:val="11"/>
                <w:b w:val="1"/>
                <w:bCs w:val="1"/>
                <w:color w:val="auto"/>
                <w:vertAlign w:val="superscript"/>
              </w:rPr>
              <w:t>(3)</w:t>
            </w:r>
          </w:p>
        </w:tc>
        <w:tc>
          <w:tcPr>
            <w:tcW w:w="120" w:type="dxa"/>
            <w:vAlign w:val="bottom"/>
            <w:tcBorders>
              <w:bottom w:val="single" w:sz="8" w:color="2C6937"/>
            </w:tcBorders>
          </w:tcPr>
          <w:p>
            <w:pPr>
              <w:spacing w:after="0"/>
              <w:rPr>
                <w:sz w:val="11"/>
                <w:szCs w:val="11"/>
                <w:color w:val="auto"/>
              </w:rPr>
            </w:pPr>
          </w:p>
        </w:tc>
        <w:tc>
          <w:tcPr>
            <w:tcW w:w="82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Settlements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1"/>
                <w:szCs w:val="11"/>
                <w:color w:val="auto"/>
              </w:rPr>
            </w:pPr>
          </w:p>
        </w:tc>
        <w:tc>
          <w:tcPr>
            <w:tcW w:w="62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9"/>
                <w:szCs w:val="9"/>
                <w:b w:val="1"/>
                <w:bCs w:val="1"/>
                <w:color w:val="auto"/>
                <w:w w:val="96"/>
              </w:rPr>
              <w:t>of Level 3</w:t>
            </w:r>
          </w:p>
        </w:tc>
        <w:tc>
          <w:tcPr>
            <w:tcW w:w="140" w:type="dxa"/>
            <w:vAlign w:val="bottom"/>
            <w:tcBorders>
              <w:bottom w:val="single" w:sz="8" w:color="2C6937"/>
            </w:tcBorders>
          </w:tcPr>
          <w:p>
            <w:pPr>
              <w:spacing w:after="0"/>
              <w:rPr>
                <w:sz w:val="11"/>
                <w:szCs w:val="11"/>
                <w:color w:val="auto"/>
              </w:rPr>
            </w:pPr>
          </w:p>
        </w:tc>
        <w:tc>
          <w:tcPr>
            <w:tcW w:w="60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Level 3</w:t>
            </w:r>
          </w:p>
        </w:tc>
        <w:tc>
          <w:tcPr>
            <w:tcW w:w="200" w:type="dxa"/>
            <w:vAlign w:val="bottom"/>
            <w:tcBorders>
              <w:bottom w:val="single" w:sz="8" w:color="2C6937"/>
            </w:tcBorders>
          </w:tcPr>
          <w:p>
            <w:pPr>
              <w:spacing w:after="0"/>
              <w:rPr>
                <w:sz w:val="11"/>
                <w:szCs w:val="11"/>
                <w:color w:val="auto"/>
              </w:rPr>
            </w:pPr>
          </w:p>
        </w:tc>
        <w:tc>
          <w:tcPr>
            <w:tcW w:w="620" w:type="dxa"/>
            <w:vAlign w:val="bottom"/>
            <w:tcBorders>
              <w:bottom w:val="single" w:sz="8" w:color="2C6937"/>
            </w:tcBorders>
          </w:tcPr>
          <w:p>
            <w:pPr>
              <w:jc w:val="right"/>
              <w:ind w:right="265"/>
              <w:spacing w:after="0"/>
              <w:rPr>
                <w:sz w:val="20"/>
                <w:szCs w:val="20"/>
                <w:color w:val="auto"/>
              </w:rPr>
            </w:pPr>
            <w:r>
              <w:rPr>
                <w:rFonts w:ascii="Arial" w:cs="Arial" w:eastAsia="Arial" w:hAnsi="Arial"/>
                <w:sz w:val="9"/>
                <w:szCs w:val="9"/>
                <w:b w:val="1"/>
                <w:bCs w:val="1"/>
                <w:color w:val="auto"/>
              </w:rPr>
              <w:t>2024</w:t>
            </w:r>
          </w:p>
        </w:tc>
        <w:tc>
          <w:tcPr>
            <w:tcW w:w="100" w:type="dxa"/>
            <w:vAlign w:val="bottom"/>
            <w:tcBorders>
              <w:bottom w:val="single" w:sz="8" w:color="2C6937"/>
            </w:tcBorders>
          </w:tcPr>
          <w:p>
            <w:pPr>
              <w:spacing w:after="0"/>
              <w:rPr>
                <w:sz w:val="11"/>
                <w:szCs w:val="11"/>
                <w:color w:val="auto"/>
              </w:rPr>
            </w:pPr>
          </w:p>
        </w:tc>
        <w:tc>
          <w:tcPr>
            <w:tcW w:w="100" w:type="dxa"/>
            <w:vAlign w:val="bottom"/>
            <w:tcBorders>
              <w:bottom w:val="single" w:sz="8" w:color="2C6937"/>
            </w:tcBorders>
          </w:tcPr>
          <w:p>
            <w:pPr>
              <w:spacing w:after="0"/>
              <w:rPr>
                <w:sz w:val="11"/>
                <w:szCs w:val="11"/>
                <w:color w:val="auto"/>
              </w:rPr>
            </w:pPr>
          </w:p>
        </w:tc>
        <w:tc>
          <w:tcPr>
            <w:tcW w:w="760" w:type="dxa"/>
            <w:vAlign w:val="bottom"/>
            <w:tcBorders>
              <w:bottom w:val="single" w:sz="8" w:color="2C6937"/>
            </w:tcBorders>
          </w:tcPr>
          <w:p>
            <w:pPr>
              <w:jc w:val="center"/>
              <w:ind w:right="50"/>
              <w:spacing w:after="0" w:line="138" w:lineRule="exact"/>
              <w:rPr>
                <w:sz w:val="20"/>
                <w:szCs w:val="20"/>
                <w:color w:val="auto"/>
              </w:rPr>
            </w:pPr>
            <w:r>
              <w:rPr>
                <w:rFonts w:ascii="Arial" w:cs="Arial" w:eastAsia="Arial" w:hAnsi="Arial"/>
                <w:sz w:val="15"/>
                <w:szCs w:val="15"/>
                <w:b w:val="1"/>
                <w:bCs w:val="1"/>
                <w:color w:val="auto"/>
                <w:w w:val="98"/>
                <w:vertAlign w:val="subscript"/>
              </w:rPr>
              <w:t>2024</w:t>
            </w:r>
            <w:r>
              <w:rPr>
                <w:rFonts w:ascii="Arial" w:cs="Arial" w:eastAsia="Arial" w:hAnsi="Arial"/>
                <w:sz w:val="5"/>
                <w:szCs w:val="5"/>
                <w:b w:val="1"/>
                <w:bCs w:val="1"/>
                <w:color w:val="auto"/>
                <w:w w:val="98"/>
              </w:rPr>
              <w:t>(4)(5)</w:t>
            </w:r>
          </w:p>
        </w:tc>
        <w:tc>
          <w:tcPr>
            <w:tcW w:w="80" w:type="dxa"/>
            <w:vAlign w:val="bottom"/>
            <w:tcBorders>
              <w:bottom w:val="single" w:sz="8" w:color="2C6937"/>
            </w:tcBorders>
          </w:tcPr>
          <w:p>
            <w:pPr>
              <w:spacing w:after="0"/>
              <w:rPr>
                <w:sz w:val="11"/>
                <w:szCs w:val="11"/>
                <w:color w:val="auto"/>
              </w:rPr>
            </w:pPr>
          </w:p>
        </w:tc>
        <w:tc>
          <w:tcPr>
            <w:tcW w:w="80" w:type="dxa"/>
            <w:vAlign w:val="bottom"/>
            <w:tcBorders>
              <w:bottom w:val="single" w:sz="8" w:color="2C6937"/>
            </w:tcBorders>
          </w:tcPr>
          <w:p>
            <w:pPr>
              <w:spacing w:after="0"/>
              <w:rPr>
                <w:sz w:val="11"/>
                <w:szCs w:val="11"/>
                <w:color w:val="auto"/>
              </w:rPr>
            </w:pPr>
          </w:p>
        </w:tc>
        <w:tc>
          <w:tcPr>
            <w:tcW w:w="800" w:type="dxa"/>
            <w:vAlign w:val="bottom"/>
            <w:tcBorders>
              <w:bottom w:val="single" w:sz="8" w:color="2C6937"/>
            </w:tcBorders>
          </w:tcPr>
          <w:p>
            <w:pPr>
              <w:jc w:val="center"/>
              <w:ind w:right="9"/>
              <w:spacing w:after="0"/>
              <w:rPr>
                <w:sz w:val="20"/>
                <w:szCs w:val="20"/>
                <w:color w:val="auto"/>
              </w:rPr>
            </w:pPr>
            <w:r>
              <w:rPr>
                <w:rFonts w:ascii="Arial" w:cs="Arial" w:eastAsia="Arial" w:hAnsi="Arial"/>
                <w:sz w:val="9"/>
                <w:szCs w:val="9"/>
                <w:b w:val="1"/>
                <w:bCs w:val="1"/>
                <w:color w:val="auto"/>
                <w:w w:val="89"/>
              </w:rPr>
              <w:t>2024</w:t>
            </w:r>
            <w:r>
              <w:rPr>
                <w:rFonts w:ascii="Arial" w:cs="Arial" w:eastAsia="Arial" w:hAnsi="Arial"/>
                <w:sz w:val="11"/>
                <w:szCs w:val="11"/>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ind w:left="300"/>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Trading securities: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Mortgage-related</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9"/>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146"/>
              <w:spacing w:after="0"/>
              <w:rPr>
                <w:sz w:val="20"/>
                <w:szCs w:val="20"/>
                <w:color w:val="auto"/>
              </w:rPr>
            </w:pPr>
            <w:r>
              <w:rPr>
                <w:rFonts w:ascii="Arial" w:cs="Arial" w:eastAsia="Arial" w:hAnsi="Arial"/>
                <w:sz w:val="7"/>
                <w:szCs w:val="7"/>
                <w:color w:val="auto"/>
                <w:w w:val="93"/>
              </w:rPr>
              <w:t>(5)(6)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5"/>
                <w:szCs w:val="15"/>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4"/>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Available-for-sale</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440" w:type="dxa"/>
            <w:vAlign w:val="bottom"/>
            <w:gridSpan w:val="2"/>
          </w:tcPr>
          <w:p>
            <w:pPr>
              <w:ind w:left="140"/>
              <w:spacing w:after="0"/>
              <w:rPr>
                <w:sz w:val="20"/>
                <w:szCs w:val="20"/>
                <w:color w:val="auto"/>
              </w:rPr>
            </w:pPr>
            <w:r>
              <w:rPr>
                <w:rFonts w:ascii="Arial" w:cs="Arial" w:eastAsia="Arial" w:hAnsi="Arial"/>
                <w:sz w:val="11"/>
                <w:szCs w:val="11"/>
                <w:color w:val="auto"/>
              </w:rPr>
              <w:t>securities: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Agency</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323</w:t>
            </w:r>
          </w:p>
        </w:tc>
        <w:tc>
          <w:tcPr>
            <w:tcW w:w="10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9"/>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ind w:left="32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315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1340" w:type="dxa"/>
            <w:vAlign w:val="bottom"/>
            <w:tcBorders>
              <w:bottom w:val="single" w:sz="8" w:color="2C6937"/>
            </w:tcBorders>
          </w:tcPr>
          <w:p>
            <w:pPr>
              <w:ind w:left="60"/>
              <w:spacing w:after="0"/>
              <w:rPr>
                <w:sz w:val="20"/>
                <w:szCs w:val="20"/>
                <w:color w:val="auto"/>
              </w:rPr>
            </w:pPr>
            <w:r>
              <w:rPr>
                <w:rFonts w:ascii="Arial" w:cs="Arial" w:eastAsia="Arial" w:hAnsi="Arial"/>
                <w:sz w:val="11"/>
                <w:szCs w:val="11"/>
                <w:color w:val="auto"/>
              </w:rPr>
              <w:t>Other mortgage-related</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164</w:t>
            </w: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360" w:type="dxa"/>
            <w:vAlign w:val="bottom"/>
            <w:tcBorders>
              <w:bottom w:val="single" w:sz="8" w:color="2C6937"/>
            </w:tcBorders>
          </w:tcPr>
          <w:p>
            <w:pPr>
              <w:jc w:val="right"/>
              <w:ind w:right="9"/>
              <w:spacing w:after="0"/>
              <w:rPr>
                <w:sz w:val="20"/>
                <w:szCs w:val="20"/>
                <w:color w:val="auto"/>
              </w:rPr>
            </w:pPr>
            <w:r>
              <w:rPr>
                <w:rFonts w:ascii="Arial" w:cs="Arial" w:eastAsia="Arial" w:hAnsi="Arial"/>
                <w:sz w:val="11"/>
                <w:szCs w:val="11"/>
                <w:color w:val="auto"/>
              </w:rPr>
              <w:t>1</w:t>
            </w:r>
          </w:p>
        </w:tc>
        <w:tc>
          <w:tcPr>
            <w:tcW w:w="36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146</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800" w:type="dxa"/>
            <w:vAlign w:val="bottom"/>
            <w:tcBorders>
              <w:bottom w:val="single" w:sz="8" w:color="2C6937"/>
            </w:tcBorders>
          </w:tcPr>
          <w:p>
            <w:pPr>
              <w:ind w:left="6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7"/>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available-for-sale</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jc w:val="right"/>
              <w:ind w:right="146"/>
              <w:spacing w:after="0"/>
              <w:rPr>
                <w:sz w:val="20"/>
                <w:szCs w:val="20"/>
                <w:color w:val="auto"/>
              </w:rPr>
            </w:pPr>
            <w:r>
              <w:rPr>
                <w:rFonts w:ascii="Arial" w:cs="Arial" w:eastAsia="Arial" w:hAnsi="Arial"/>
                <w:sz w:val="7"/>
                <w:szCs w:val="7"/>
                <w:color w:val="auto"/>
                <w:w w:val="93"/>
              </w:rPr>
              <w:t>(6)(7)</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40" w:type="dxa"/>
            <w:vAlign w:val="bottom"/>
            <w:tcBorders>
              <w:bottom w:val="single" w:sz="8" w:color="2C6937"/>
            </w:tcBorders>
          </w:tcPr>
          <w:p>
            <w:pPr>
              <w:ind w:left="140"/>
              <w:spacing w:after="0"/>
              <w:rPr>
                <w:sz w:val="20"/>
                <w:szCs w:val="20"/>
                <w:color w:val="auto"/>
              </w:rPr>
            </w:pPr>
            <w:r>
              <w:rPr>
                <w:rFonts w:ascii="Arial" w:cs="Arial" w:eastAsia="Arial" w:hAnsi="Arial"/>
                <w:sz w:val="11"/>
                <w:szCs w:val="11"/>
                <w:color w:val="auto"/>
              </w:rPr>
              <w:t>securities</w:t>
            </w:r>
          </w:p>
        </w:tc>
        <w:tc>
          <w:tcPr>
            <w:tcW w:w="100" w:type="dxa"/>
            <w:vAlign w:val="bottom"/>
          </w:tcPr>
          <w:p>
            <w:pPr>
              <w:spacing w:after="0"/>
              <w:rPr>
                <w:sz w:val="14"/>
                <w:szCs w:val="14"/>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487</w:t>
            </w:r>
          </w:p>
        </w:tc>
        <w:tc>
          <w:tcPr>
            <w:tcW w:w="100" w:type="dxa"/>
            <w:vAlign w:val="bottom"/>
          </w:tcPr>
          <w:p>
            <w:pPr>
              <w:spacing w:after="0"/>
              <w:rPr>
                <w:sz w:val="14"/>
                <w:szCs w:val="14"/>
                <w:color w:val="auto"/>
              </w:rPr>
            </w:pPr>
          </w:p>
        </w:tc>
        <w:tc>
          <w:tcPr>
            <w:tcW w:w="200" w:type="dxa"/>
            <w:vAlign w:val="bottom"/>
            <w:tcBorders>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2C6937"/>
            </w:tcBorders>
          </w:tcPr>
          <w:p>
            <w:pPr>
              <w:jc w:val="right"/>
              <w:ind w:right="9"/>
              <w:spacing w:after="0"/>
              <w:rPr>
                <w:sz w:val="20"/>
                <w:szCs w:val="20"/>
                <w:color w:val="auto"/>
              </w:rPr>
            </w:pPr>
            <w:r>
              <w:rPr>
                <w:rFonts w:ascii="Arial" w:cs="Arial" w:eastAsia="Arial" w:hAnsi="Arial"/>
                <w:sz w:val="11"/>
                <w:szCs w:val="11"/>
                <w:color w:val="auto"/>
              </w:rPr>
              <w:t>1</w:t>
            </w:r>
          </w:p>
        </w:tc>
        <w:tc>
          <w:tcPr>
            <w:tcW w:w="36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4"/>
                <w:szCs w:val="14"/>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200" w:type="dxa"/>
            <w:vAlign w:val="bottom"/>
            <w:tcBorders>
              <w:bottom w:val="single" w:sz="8" w:color="2C6937"/>
            </w:tcBorders>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461</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2C6937"/>
            </w:tcBorders>
          </w:tcPr>
          <w:p>
            <w:pPr>
              <w:ind w:left="6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60" w:type="dxa"/>
            <w:vAlign w:val="bottom"/>
            <w:tcBorders>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4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8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Mortgage loans</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470</w:t>
            </w:r>
          </w:p>
        </w:tc>
        <w:tc>
          <w:tcPr>
            <w:tcW w:w="10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46"/>
              <w:spacing w:after="0"/>
              <w:rPr>
                <w:sz w:val="20"/>
                <w:szCs w:val="20"/>
                <w:color w:val="auto"/>
              </w:rPr>
            </w:pPr>
            <w:r>
              <w:rPr>
                <w:rFonts w:ascii="Arial" w:cs="Arial" w:eastAsia="Arial" w:hAnsi="Arial"/>
                <w:sz w:val="22"/>
                <w:szCs w:val="22"/>
                <w:color w:val="auto"/>
                <w:vertAlign w:val="subscript"/>
              </w:rPr>
              <w:t>(4)</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ind w:left="280"/>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4"/>
                <w:szCs w:val="24"/>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425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5"/>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Net derivatives</w:t>
            </w:r>
          </w:p>
        </w:tc>
        <w:tc>
          <w:tcPr>
            <w:tcW w:w="180" w:type="dxa"/>
            <w:vAlign w:val="bottom"/>
          </w:tcPr>
          <w:p>
            <w:pPr>
              <w:spacing w:after="0"/>
              <w:rPr>
                <w:sz w:val="24"/>
                <w:szCs w:val="24"/>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jc w:val="right"/>
              <w:ind w:right="9"/>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226"/>
              <w:spacing w:after="0"/>
              <w:rPr>
                <w:sz w:val="20"/>
                <w:szCs w:val="20"/>
                <w:color w:val="auto"/>
              </w:rPr>
            </w:pPr>
            <w:r>
              <w:rPr>
                <w:rFonts w:ascii="Arial" w:cs="Arial" w:eastAsia="Arial" w:hAnsi="Arial"/>
                <w:sz w:val="7"/>
                <w:szCs w:val="7"/>
                <w:color w:val="auto"/>
                <w:w w:val="92"/>
              </w:rPr>
              <w:t>(5)</w:t>
            </w:r>
          </w:p>
        </w:tc>
        <w:tc>
          <w:tcPr>
            <w:tcW w:w="80" w:type="dxa"/>
            <w:vAlign w:val="bottom"/>
          </w:tcPr>
          <w:p>
            <w:pPr>
              <w:spacing w:after="0"/>
              <w:rPr>
                <w:sz w:val="24"/>
                <w:szCs w:val="24"/>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4"/>
                <w:szCs w:val="24"/>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94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9"/>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Long-term debt:</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440" w:type="dxa"/>
            <w:vAlign w:val="bottom"/>
            <w:gridSpan w:val="2"/>
          </w:tcPr>
          <w:p>
            <w:pPr>
              <w:ind w:left="100"/>
              <w:spacing w:after="0"/>
              <w:rPr>
                <w:sz w:val="20"/>
                <w:szCs w:val="20"/>
                <w:color w:val="auto"/>
              </w:rPr>
            </w:pPr>
            <w:r>
              <w:rPr>
                <w:rFonts w:ascii="Arial" w:cs="Arial" w:eastAsia="Arial" w:hAnsi="Arial"/>
                <w:sz w:val="11"/>
                <w:szCs w:val="11"/>
                <w:color w:val="auto"/>
              </w:rPr>
              <w:t>Of Fannie Mae</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(273)</w:t>
            </w:r>
          </w:p>
        </w:tc>
        <w:tc>
          <w:tcPr>
            <w:tcW w:w="100" w:type="dxa"/>
            <w:vAlign w:val="bottom"/>
          </w:tcPr>
          <w:p>
            <w:pPr>
              <w:spacing w:after="0"/>
              <w:rPr>
                <w:sz w:val="14"/>
                <w:szCs w:val="1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9"/>
              <w:spacing w:after="0"/>
              <w:rPr>
                <w:sz w:val="20"/>
                <w:szCs w:val="20"/>
                <w:color w:val="auto"/>
              </w:rPr>
            </w:pPr>
            <w:r>
              <w:rPr>
                <w:rFonts w:ascii="Arial" w:cs="Arial" w:eastAsia="Arial" w:hAnsi="Arial"/>
                <w:sz w:val="11"/>
                <w:szCs w:val="11"/>
                <w:color w:val="auto"/>
              </w:rPr>
              <w:t>3</w:t>
            </w:r>
          </w:p>
        </w:tc>
        <w:tc>
          <w:tcPr>
            <w:tcW w:w="360" w:type="dxa"/>
            <w:vAlign w:val="bottom"/>
          </w:tcPr>
          <w:p>
            <w:pPr>
              <w:jc w:val="right"/>
              <w:ind w:right="226"/>
              <w:spacing w:after="0"/>
              <w:rPr>
                <w:sz w:val="20"/>
                <w:szCs w:val="20"/>
                <w:color w:val="auto"/>
              </w:rPr>
            </w:pPr>
            <w:r>
              <w:rPr>
                <w:rFonts w:ascii="Arial" w:cs="Arial" w:eastAsia="Arial" w:hAnsi="Arial"/>
                <w:sz w:val="7"/>
                <w:szCs w:val="7"/>
                <w:color w:val="auto"/>
                <w:w w:val="92"/>
              </w:rPr>
              <w:t>(5)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(270)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9"/>
        </w:trPr>
        <w:tc>
          <w:tcPr>
            <w:tcW w:w="1340" w:type="dxa"/>
            <w:vAlign w:val="bottom"/>
            <w:tcBorders>
              <w:bottom w:val="single" w:sz="8" w:color="2C6937"/>
            </w:tcBorders>
          </w:tcPr>
          <w:p>
            <w:pPr>
              <w:ind w:left="100"/>
              <w:spacing w:after="0"/>
              <w:rPr>
                <w:sz w:val="20"/>
                <w:szCs w:val="20"/>
                <w:color w:val="auto"/>
              </w:rPr>
            </w:pPr>
            <w:r>
              <w:rPr>
                <w:rFonts w:ascii="Arial" w:cs="Arial" w:eastAsia="Arial" w:hAnsi="Arial"/>
                <w:sz w:val="11"/>
                <w:szCs w:val="11"/>
                <w:color w:val="auto"/>
              </w:rPr>
              <w:t>Of consolidated trusts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(114)</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jc w:val="right"/>
              <w:ind w:right="9"/>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146"/>
              <w:spacing w:after="0"/>
              <w:rPr>
                <w:sz w:val="20"/>
                <w:szCs w:val="20"/>
                <w:color w:val="auto"/>
              </w:rPr>
            </w:pPr>
            <w:r>
              <w:rPr>
                <w:rFonts w:ascii="Arial" w:cs="Arial" w:eastAsia="Arial" w:hAnsi="Arial"/>
                <w:sz w:val="7"/>
                <w:szCs w:val="7"/>
                <w:color w:val="auto"/>
                <w:w w:val="93"/>
              </w:rPr>
              <w:t>(5)(6)</w:t>
            </w:r>
          </w:p>
        </w:tc>
        <w:tc>
          <w:tcPr>
            <w:tcW w:w="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4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(110)</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3"/>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long-term debt</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(387)</w:t>
            </w:r>
          </w:p>
        </w:tc>
        <w:tc>
          <w:tcPr>
            <w:tcW w:w="10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9"/>
              <w:spacing w:after="0"/>
              <w:rPr>
                <w:sz w:val="20"/>
                <w:szCs w:val="20"/>
                <w:color w:val="auto"/>
              </w:rPr>
            </w:pPr>
            <w:r>
              <w:rPr>
                <w:rFonts w:ascii="Arial" w:cs="Arial" w:eastAsia="Arial" w:hAnsi="Arial"/>
                <w:sz w:val="11"/>
                <w:szCs w:val="11"/>
                <w:color w:val="auto"/>
              </w:rPr>
              <w:t>3</w:t>
            </w:r>
          </w:p>
        </w:tc>
        <w:tc>
          <w:tcPr>
            <w:tcW w:w="3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(380)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
        </w:trPr>
        <w:tc>
          <w:tcPr>
            <w:tcW w:w="13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2C6937"/>
              <w:bottom w:val="single" w:sz="8" w:color="2C6937"/>
            </w:tcBorders>
          </w:tcPr>
          <w:p>
            <w:pPr>
              <w:spacing w:after="0"/>
              <w:rPr>
                <w:sz w:val="2"/>
                <w:szCs w:val="2"/>
                <w:color w:val="auto"/>
              </w:rPr>
            </w:pPr>
          </w:p>
        </w:tc>
        <w:tc>
          <w:tcPr>
            <w:tcW w:w="6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360" w:type="dxa"/>
            <w:vAlign w:val="bottom"/>
            <w:tcBorders>
              <w:top w:val="single" w:sz="8" w:color="2C6937"/>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68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4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48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7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5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6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80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916940</wp:posOffset>
            </wp:positionV>
            <wp:extent cx="680593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107" w:name="page108"/>
    <w:bookmarkEnd w:id="107"/>
    <w:p>
      <w:pPr>
        <w:ind w:left="696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17145</wp:posOffset>
            </wp:positionV>
            <wp:extent cx="70154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45"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For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18415</wp:posOffset>
            </wp:positionV>
            <wp:extent cx="620522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20522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Net Unrealized</w:t>
            </w: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5"/>
          </w:tcPr>
          <w:p>
            <w:pPr>
              <w:ind w:left="120"/>
              <w:spacing w:after="0"/>
              <w:rPr>
                <w:sz w:val="20"/>
                <w:szCs w:val="20"/>
                <w:color w:val="auto"/>
              </w:rPr>
            </w:pPr>
            <w:r>
              <w:rPr>
                <w:rFonts w:ascii="Arial" w:cs="Arial" w:eastAsia="Arial" w:hAnsi="Arial"/>
                <w:sz w:val="9"/>
                <w:szCs w:val="9"/>
                <w:b w:val="1"/>
                <w:bCs w:val="1"/>
                <w:color w:val="auto"/>
              </w:rPr>
              <w:t>Total Gains (Losses)</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6"/>
              </w:rPr>
              <w:t>Gains (Losses)</w:t>
            </w:r>
          </w:p>
        </w:tc>
        <w:tc>
          <w:tcPr>
            <w:tcW w:w="60" w:type="dxa"/>
            <w:vAlign w:val="bottom"/>
          </w:tcPr>
          <w:p>
            <w:pPr>
              <w:spacing w:after="0"/>
              <w:rPr>
                <w:sz w:val="9"/>
                <w:szCs w:val="9"/>
                <w:color w:val="auto"/>
              </w:rPr>
            </w:pPr>
          </w:p>
        </w:tc>
        <w:tc>
          <w:tcPr>
            <w:tcW w:w="820" w:type="dxa"/>
            <w:vAlign w:val="bottom"/>
          </w:tcPr>
          <w:p>
            <w:pPr>
              <w:jc w:val="center"/>
              <w:ind w:right="49"/>
              <w:spacing w:after="0"/>
              <w:rPr>
                <w:sz w:val="20"/>
                <w:szCs w:val="20"/>
                <w:color w:val="auto"/>
              </w:rPr>
            </w:pPr>
            <w:r>
              <w:rPr>
                <w:rFonts w:ascii="Arial" w:cs="Arial" w:eastAsia="Arial" w:hAnsi="Arial"/>
                <w:sz w:val="9"/>
                <w:szCs w:val="9"/>
                <w:b w:val="1"/>
                <w:bCs w:val="1"/>
                <w:color w:val="auto"/>
                <w:w w:val="95"/>
              </w:rPr>
              <w:t>Net Unrealized</w:t>
            </w:r>
          </w:p>
        </w:tc>
        <w:tc>
          <w:tcPr>
            <w:tcW w:w="0" w:type="dxa"/>
            <w:vAlign w:val="bottom"/>
          </w:tcPr>
          <w:p>
            <w:pPr>
              <w:spacing w:after="0"/>
              <w:rPr>
                <w:sz w:val="1"/>
                <w:szCs w:val="1"/>
                <w:color w:val="auto"/>
              </w:rPr>
            </w:pPr>
          </w:p>
        </w:tc>
      </w:tr>
      <w:tr>
        <w:trPr>
          <w:trHeight w:val="95"/>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gridSpan w:val="5"/>
          </w:tcPr>
          <w:p>
            <w:pPr>
              <w:ind w:left="100"/>
              <w:spacing w:after="0" w:line="95" w:lineRule="exact"/>
              <w:rPr>
                <w:sz w:val="20"/>
                <w:szCs w:val="20"/>
                <w:color w:val="auto"/>
              </w:rPr>
            </w:pPr>
            <w:r>
              <w:rPr>
                <w:rFonts w:ascii="Arial" w:cs="Arial" w:eastAsia="Arial" w:hAnsi="Arial"/>
                <w:sz w:val="9"/>
                <w:szCs w:val="9"/>
                <w:b w:val="1"/>
                <w:bCs w:val="1"/>
                <w:color w:val="auto"/>
              </w:rPr>
              <w:t>(Realized/Unrealized)</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6"/>
              </w:rPr>
              <w:t>Included in Net</w:t>
            </w:r>
          </w:p>
        </w:tc>
        <w:tc>
          <w:tcPr>
            <w:tcW w:w="60" w:type="dxa"/>
            <w:vAlign w:val="bottom"/>
          </w:tcPr>
          <w:p>
            <w:pPr>
              <w:spacing w:after="0"/>
              <w:rPr>
                <w:sz w:val="8"/>
                <w:szCs w:val="8"/>
                <w:color w:val="auto"/>
              </w:rPr>
            </w:pPr>
          </w:p>
        </w:tc>
        <w:tc>
          <w:tcPr>
            <w:tcW w:w="820" w:type="dxa"/>
            <w:vAlign w:val="bottom"/>
          </w:tcPr>
          <w:p>
            <w:pPr>
              <w:jc w:val="center"/>
              <w:ind w:right="29"/>
              <w:spacing w:after="0" w:line="95" w:lineRule="exact"/>
              <w:rPr>
                <w:sz w:val="20"/>
                <w:szCs w:val="20"/>
                <w:color w:val="auto"/>
              </w:rPr>
            </w:pPr>
            <w:r>
              <w:rPr>
                <w:rFonts w:ascii="Arial" w:cs="Arial" w:eastAsia="Arial" w:hAnsi="Arial"/>
                <w:sz w:val="9"/>
                <w:szCs w:val="9"/>
                <w:b w:val="1"/>
                <w:bCs w:val="1"/>
                <w:color w:val="auto"/>
                <w:w w:val="96"/>
              </w:rPr>
              <w:t>Gains (Losses)</w:t>
            </w:r>
          </w:p>
        </w:tc>
        <w:tc>
          <w:tcPr>
            <w:tcW w:w="0" w:type="dxa"/>
            <w:vAlign w:val="bottom"/>
          </w:tcPr>
          <w:p>
            <w:pPr>
              <w:spacing w:after="0"/>
              <w:rPr>
                <w:sz w:val="1"/>
                <w:szCs w:val="1"/>
                <w:color w:val="auto"/>
              </w:rPr>
            </w:pPr>
          </w:p>
        </w:tc>
      </w:tr>
      <w:tr>
        <w:trPr>
          <w:trHeight w:val="47"/>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80" w:type="dxa"/>
            <w:vAlign w:val="bottom"/>
            <w:tcBorders>
              <w:bottom w:val="single" w:sz="8" w:color="2C6937"/>
            </w:tcBorders>
          </w:tcPr>
          <w:p>
            <w:pPr>
              <w:spacing w:after="0"/>
              <w:rPr>
                <w:sz w:val="4"/>
                <w:szCs w:val="4"/>
                <w:color w:val="auto"/>
              </w:rPr>
            </w:pPr>
          </w:p>
        </w:tc>
        <w:tc>
          <w:tcPr>
            <w:tcW w:w="480" w:type="dxa"/>
            <w:vAlign w:val="bottom"/>
            <w:tcBorders>
              <w:bottom w:val="single" w:sz="8" w:color="2C6937"/>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9"/>
                <w:szCs w:val="9"/>
                <w:b w:val="1"/>
                <w:bCs w:val="1"/>
                <w:color w:val="auto"/>
                <w:w w:val="95"/>
              </w:rPr>
              <w:t>Income Related to</w:t>
            </w:r>
          </w:p>
        </w:tc>
        <w:tc>
          <w:tcPr>
            <w:tcW w:w="60" w:type="dxa"/>
            <w:vAlign w:val="bottom"/>
          </w:tcPr>
          <w:p>
            <w:pPr>
              <w:spacing w:after="0"/>
              <w:rPr>
                <w:sz w:val="4"/>
                <w:szCs w:val="4"/>
                <w:color w:val="auto"/>
              </w:rPr>
            </w:pPr>
          </w:p>
        </w:tc>
        <w:tc>
          <w:tcPr>
            <w:tcW w:w="820" w:type="dxa"/>
            <w:vAlign w:val="bottom"/>
            <w:vMerge w:val="restart"/>
          </w:tcPr>
          <w:p>
            <w:pPr>
              <w:jc w:val="center"/>
              <w:ind w:right="29"/>
              <w:spacing w:after="0"/>
              <w:rPr>
                <w:sz w:val="20"/>
                <w:szCs w:val="20"/>
                <w:color w:val="auto"/>
              </w:rPr>
            </w:pPr>
            <w:r>
              <w:rPr>
                <w:rFonts w:ascii="Arial" w:cs="Arial" w:eastAsia="Arial" w:hAnsi="Arial"/>
                <w:sz w:val="9"/>
                <w:szCs w:val="9"/>
                <w:b w:val="1"/>
                <w:bCs w:val="1"/>
                <w:color w:val="auto"/>
                <w:w w:val="93"/>
              </w:rPr>
              <w:t>Included in OCI</w:t>
            </w:r>
          </w:p>
        </w:tc>
        <w:tc>
          <w:tcPr>
            <w:tcW w:w="0" w:type="dxa"/>
            <w:vAlign w:val="bottom"/>
          </w:tcPr>
          <w:p>
            <w:pPr>
              <w:spacing w:after="0"/>
              <w:rPr>
                <w:sz w:val="1"/>
                <w:szCs w:val="1"/>
                <w:color w:val="auto"/>
              </w:rPr>
            </w:pPr>
          </w:p>
        </w:tc>
      </w:tr>
      <w:tr>
        <w:trPr>
          <w:trHeight w:val="36"/>
        </w:trPr>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Assets and</w:t>
            </w:r>
          </w:p>
        </w:tc>
        <w:tc>
          <w:tcPr>
            <w:tcW w:w="60" w:type="dxa"/>
            <w:vAlign w:val="bottom"/>
          </w:tcPr>
          <w:p>
            <w:pPr>
              <w:spacing w:after="0"/>
              <w:rPr>
                <w:sz w:val="8"/>
                <w:szCs w:val="8"/>
                <w:color w:val="auto"/>
              </w:rPr>
            </w:pPr>
          </w:p>
        </w:tc>
        <w:tc>
          <w:tcPr>
            <w:tcW w:w="820" w:type="dxa"/>
            <w:vAlign w:val="bottom"/>
          </w:tcPr>
          <w:p>
            <w:pPr>
              <w:jc w:val="center"/>
              <w:ind w:right="49"/>
              <w:spacing w:after="0"/>
              <w:rPr>
                <w:sz w:val="20"/>
                <w:szCs w:val="20"/>
                <w:color w:val="auto"/>
              </w:rPr>
            </w:pPr>
            <w:r>
              <w:rPr>
                <w:rFonts w:ascii="Arial" w:cs="Arial" w:eastAsia="Arial" w:hAnsi="Arial"/>
                <w:sz w:val="9"/>
                <w:szCs w:val="9"/>
                <w:b w:val="1"/>
                <w:bCs w:val="1"/>
                <w:color w:val="auto"/>
                <w:w w:val="95"/>
              </w:rPr>
              <w:t>Related to Assets</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6"/>
              </w:rPr>
              <w:t>Included in</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4"/>
              </w:rPr>
              <w:t>Liabilities Still Held</w:t>
            </w:r>
          </w:p>
        </w:tc>
        <w:tc>
          <w:tcPr>
            <w:tcW w:w="880" w:type="dxa"/>
            <w:vAlign w:val="bottom"/>
            <w:gridSpan w:val="2"/>
          </w:tcPr>
          <w:p>
            <w:pPr>
              <w:jc w:val="right"/>
              <w:ind w:right="29"/>
              <w:spacing w:after="0"/>
              <w:rPr>
                <w:sz w:val="20"/>
                <w:szCs w:val="20"/>
                <w:color w:val="auto"/>
              </w:rPr>
            </w:pPr>
            <w:r>
              <w:rPr>
                <w:rFonts w:ascii="Arial" w:cs="Arial" w:eastAsia="Arial" w:hAnsi="Arial"/>
                <w:sz w:val="9"/>
                <w:szCs w:val="9"/>
                <w:b w:val="1"/>
                <w:bCs w:val="1"/>
                <w:color w:val="auto"/>
                <w:w w:val="98"/>
              </w:rPr>
              <w:t>and Liabilities Still</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Balance,</w:t>
            </w:r>
          </w:p>
        </w:tc>
        <w:tc>
          <w:tcPr>
            <w:tcW w:w="560" w:type="dxa"/>
            <w:vAlign w:val="bottom"/>
            <w:gridSpan w:val="2"/>
          </w:tcPr>
          <w:p>
            <w:pPr>
              <w:jc w:val="right"/>
              <w:ind w:right="7"/>
              <w:spacing w:after="0"/>
              <w:rPr>
                <w:sz w:val="20"/>
                <w:szCs w:val="20"/>
                <w:color w:val="auto"/>
              </w:rPr>
            </w:pPr>
            <w:r>
              <w:rPr>
                <w:rFonts w:ascii="Arial" w:cs="Arial" w:eastAsia="Arial" w:hAnsi="Arial"/>
                <w:sz w:val="9"/>
                <w:szCs w:val="9"/>
                <w:b w:val="1"/>
                <w:bCs w:val="1"/>
                <w:color w:val="auto"/>
              </w:rPr>
              <w:t>Included in</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4"/>
              </w:rPr>
              <w:t>Total OCI</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3"/>
              </w:rPr>
              <w:t>Transfers out</w:t>
            </w:r>
          </w:p>
        </w:tc>
        <w:tc>
          <w:tcPr>
            <w:tcW w:w="720" w:type="dxa"/>
            <w:vAlign w:val="bottom"/>
            <w:gridSpan w:val="3"/>
          </w:tcPr>
          <w:p>
            <w:pPr>
              <w:ind w:left="20"/>
              <w:spacing w:after="0"/>
              <w:rPr>
                <w:sz w:val="20"/>
                <w:szCs w:val="20"/>
                <w:color w:val="auto"/>
              </w:rPr>
            </w:pPr>
            <w:r>
              <w:rPr>
                <w:rFonts w:ascii="Arial" w:cs="Arial" w:eastAsia="Arial" w:hAnsi="Arial"/>
                <w:sz w:val="9"/>
                <w:szCs w:val="9"/>
                <w:b w:val="1"/>
                <w:bCs w:val="1"/>
                <w:color w:val="auto"/>
              </w:rPr>
              <w:t>Transfers into</w:t>
            </w:r>
          </w:p>
        </w:tc>
        <w:tc>
          <w:tcPr>
            <w:tcW w:w="920" w:type="dxa"/>
            <w:vAlign w:val="bottom"/>
            <w:gridSpan w:val="3"/>
          </w:tcPr>
          <w:p>
            <w:pPr>
              <w:ind w:left="60"/>
              <w:spacing w:after="0"/>
              <w:rPr>
                <w:sz w:val="20"/>
                <w:szCs w:val="20"/>
                <w:color w:val="auto"/>
              </w:rPr>
            </w:pPr>
            <w:r>
              <w:rPr>
                <w:rFonts w:ascii="Arial" w:cs="Arial" w:eastAsia="Arial" w:hAnsi="Arial"/>
                <w:sz w:val="9"/>
                <w:szCs w:val="9"/>
                <w:b w:val="1"/>
                <w:bCs w:val="1"/>
                <w:color w:val="auto"/>
              </w:rPr>
              <w:t>Balance, June 30,</w:t>
            </w:r>
          </w:p>
        </w:tc>
        <w:tc>
          <w:tcPr>
            <w:tcW w:w="100" w:type="dxa"/>
            <w:vAlign w:val="bottom"/>
          </w:tcPr>
          <w:p>
            <w:pPr>
              <w:spacing w:after="0"/>
              <w:rPr>
                <w:sz w:val="8"/>
                <w:szCs w:val="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7"/>
              </w:rPr>
              <w:t>as of June 30,</w:t>
            </w:r>
          </w:p>
        </w:tc>
        <w:tc>
          <w:tcPr>
            <w:tcW w:w="880" w:type="dxa"/>
            <w:vAlign w:val="bottom"/>
            <w:gridSpan w:val="2"/>
          </w:tcPr>
          <w:p>
            <w:pPr>
              <w:jc w:val="right"/>
              <w:ind w:right="9"/>
              <w:spacing w:after="0"/>
              <w:rPr>
                <w:sz w:val="20"/>
                <w:szCs w:val="20"/>
                <w:color w:val="auto"/>
              </w:rPr>
            </w:pPr>
            <w:r>
              <w:rPr>
                <w:rFonts w:ascii="Arial" w:cs="Arial" w:eastAsia="Arial" w:hAnsi="Arial"/>
                <w:sz w:val="9"/>
                <w:szCs w:val="9"/>
                <w:b w:val="1"/>
                <w:bCs w:val="1"/>
                <w:color w:val="auto"/>
                <w:w w:val="98"/>
              </w:rPr>
              <w:t>Held as of June 30,</w:t>
            </w: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2C6937"/>
            </w:tcBorders>
            <w:gridSpan w:val="3"/>
          </w:tcPr>
          <w:p>
            <w:pPr>
              <w:ind w:left="20"/>
              <w:spacing w:after="0"/>
              <w:rPr>
                <w:sz w:val="20"/>
                <w:szCs w:val="20"/>
                <w:color w:val="auto"/>
              </w:rPr>
            </w:pPr>
            <w:r>
              <w:rPr>
                <w:rFonts w:ascii="Arial" w:cs="Arial" w:eastAsia="Arial" w:hAnsi="Arial"/>
                <w:sz w:val="9"/>
                <w:szCs w:val="9"/>
                <w:b w:val="1"/>
                <w:bCs w:val="1"/>
                <w:color w:val="auto"/>
              </w:rPr>
              <w:t>December 31, 2023</w:t>
            </w:r>
          </w:p>
        </w:tc>
        <w:tc>
          <w:tcPr>
            <w:tcW w:w="560" w:type="dxa"/>
            <w:vAlign w:val="bottom"/>
            <w:tcBorders>
              <w:bottom w:val="single" w:sz="8" w:color="2C6937"/>
            </w:tcBorders>
            <w:gridSpan w:val="2"/>
          </w:tcPr>
          <w:p>
            <w:pPr>
              <w:jc w:val="right"/>
              <w:spacing w:after="0"/>
              <w:rPr>
                <w:sz w:val="20"/>
                <w:szCs w:val="20"/>
                <w:color w:val="auto"/>
              </w:rPr>
            </w:pPr>
            <w:r>
              <w:rPr>
                <w:rFonts w:ascii="Arial" w:cs="Arial" w:eastAsia="Arial" w:hAnsi="Arial"/>
                <w:sz w:val="9"/>
                <w:szCs w:val="9"/>
                <w:b w:val="1"/>
                <w:bCs w:val="1"/>
                <w:color w:val="auto"/>
              </w:rPr>
              <w:t>Net Income</w:t>
            </w:r>
          </w:p>
        </w:tc>
        <w:tc>
          <w:tcPr>
            <w:tcW w:w="360" w:type="dxa"/>
            <w:vAlign w:val="bottom"/>
            <w:tcBorders>
              <w:bottom w:val="single" w:sz="8" w:color="2C6937"/>
            </w:tcBorders>
          </w:tcPr>
          <w:p>
            <w:pPr>
              <w:spacing w:after="0"/>
              <w:rPr>
                <w:sz w:val="11"/>
                <w:szCs w:val="11"/>
                <w:color w:val="auto"/>
              </w:rPr>
            </w:pPr>
          </w:p>
        </w:tc>
        <w:tc>
          <w:tcPr>
            <w:tcW w:w="80" w:type="dxa"/>
            <w:vAlign w:val="bottom"/>
            <w:tcBorders>
              <w:bottom w:val="single" w:sz="8" w:color="2C6937"/>
            </w:tcBorders>
          </w:tcPr>
          <w:p>
            <w:pPr>
              <w:spacing w:after="0"/>
              <w:rPr>
                <w:sz w:val="11"/>
                <w:szCs w:val="11"/>
                <w:color w:val="auto"/>
              </w:rPr>
            </w:pPr>
          </w:p>
        </w:tc>
        <w:tc>
          <w:tcPr>
            <w:tcW w:w="58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9"/>
                <w:szCs w:val="9"/>
                <w:b w:val="1"/>
                <w:bCs w:val="1"/>
                <w:color w:val="auto"/>
                <w:w w:val="88"/>
              </w:rPr>
              <w:t>(Loss)</w:t>
            </w:r>
            <w:r>
              <w:rPr>
                <w:rFonts w:ascii="Arial" w:cs="Arial" w:eastAsia="Arial" w:hAnsi="Arial"/>
                <w:sz w:val="11"/>
                <w:szCs w:val="11"/>
                <w:b w:val="1"/>
                <w:bCs w:val="1"/>
                <w:color w:val="auto"/>
                <w:w w:val="88"/>
                <w:vertAlign w:val="superscript"/>
              </w:rPr>
              <w:t>(1)</w:t>
            </w:r>
          </w:p>
        </w:tc>
        <w:tc>
          <w:tcPr>
            <w:tcW w:w="100" w:type="dxa"/>
            <w:vAlign w:val="bottom"/>
            <w:tcBorders>
              <w:bottom w:val="single" w:sz="8" w:color="2C6937"/>
            </w:tcBorders>
          </w:tcPr>
          <w:p>
            <w:pPr>
              <w:spacing w:after="0"/>
              <w:rPr>
                <w:sz w:val="11"/>
                <w:szCs w:val="11"/>
                <w:color w:val="auto"/>
              </w:rPr>
            </w:pPr>
          </w:p>
        </w:tc>
        <w:tc>
          <w:tcPr>
            <w:tcW w:w="78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Purchases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1"/>
                <w:szCs w:val="11"/>
                <w:color w:val="auto"/>
              </w:rPr>
            </w:pPr>
          </w:p>
        </w:tc>
        <w:tc>
          <w:tcPr>
            <w:tcW w:w="54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Sales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1"/>
                <w:szCs w:val="11"/>
                <w:color w:val="auto"/>
              </w:rPr>
            </w:pPr>
          </w:p>
        </w:tc>
        <w:tc>
          <w:tcPr>
            <w:tcW w:w="56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Issues</w:t>
            </w:r>
            <w:r>
              <w:rPr>
                <w:rFonts w:ascii="Arial" w:cs="Arial" w:eastAsia="Arial" w:hAnsi="Arial"/>
                <w:sz w:val="11"/>
                <w:szCs w:val="11"/>
                <w:b w:val="1"/>
                <w:bCs w:val="1"/>
                <w:color w:val="auto"/>
                <w:vertAlign w:val="superscript"/>
              </w:rPr>
              <w:t>(3)</w:t>
            </w:r>
          </w:p>
        </w:tc>
        <w:tc>
          <w:tcPr>
            <w:tcW w:w="120" w:type="dxa"/>
            <w:vAlign w:val="bottom"/>
            <w:tcBorders>
              <w:bottom w:val="single" w:sz="8" w:color="2C6937"/>
            </w:tcBorders>
          </w:tcPr>
          <w:p>
            <w:pPr>
              <w:spacing w:after="0"/>
              <w:rPr>
                <w:sz w:val="11"/>
                <w:szCs w:val="11"/>
                <w:color w:val="auto"/>
              </w:rPr>
            </w:pPr>
          </w:p>
        </w:tc>
        <w:tc>
          <w:tcPr>
            <w:tcW w:w="82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Settlements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1"/>
                <w:szCs w:val="11"/>
                <w:color w:val="auto"/>
              </w:rPr>
            </w:pPr>
          </w:p>
        </w:tc>
        <w:tc>
          <w:tcPr>
            <w:tcW w:w="6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9"/>
                <w:szCs w:val="9"/>
                <w:b w:val="1"/>
                <w:bCs w:val="1"/>
                <w:color w:val="auto"/>
                <w:w w:val="96"/>
              </w:rPr>
              <w:t>of Level 3</w:t>
            </w:r>
          </w:p>
        </w:tc>
        <w:tc>
          <w:tcPr>
            <w:tcW w:w="120" w:type="dxa"/>
            <w:vAlign w:val="bottom"/>
            <w:tcBorders>
              <w:bottom w:val="single" w:sz="8" w:color="2C6937"/>
            </w:tcBorders>
          </w:tcPr>
          <w:p>
            <w:pPr>
              <w:spacing w:after="0"/>
              <w:rPr>
                <w:sz w:val="11"/>
                <w:szCs w:val="11"/>
                <w:color w:val="auto"/>
              </w:rPr>
            </w:pPr>
          </w:p>
        </w:tc>
        <w:tc>
          <w:tcPr>
            <w:tcW w:w="60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Level 3</w:t>
            </w:r>
          </w:p>
        </w:tc>
        <w:tc>
          <w:tcPr>
            <w:tcW w:w="200" w:type="dxa"/>
            <w:vAlign w:val="bottom"/>
            <w:tcBorders>
              <w:bottom w:val="single" w:sz="8" w:color="2C6937"/>
            </w:tcBorders>
          </w:tcPr>
          <w:p>
            <w:pPr>
              <w:spacing w:after="0"/>
              <w:rPr>
                <w:sz w:val="11"/>
                <w:szCs w:val="11"/>
                <w:color w:val="auto"/>
              </w:rPr>
            </w:pPr>
          </w:p>
        </w:tc>
        <w:tc>
          <w:tcPr>
            <w:tcW w:w="640" w:type="dxa"/>
            <w:vAlign w:val="bottom"/>
            <w:tcBorders>
              <w:bottom w:val="single" w:sz="8" w:color="2C6937"/>
            </w:tcBorders>
          </w:tcPr>
          <w:p>
            <w:pPr>
              <w:jc w:val="right"/>
              <w:ind w:right="285"/>
              <w:spacing w:after="0"/>
              <w:rPr>
                <w:sz w:val="20"/>
                <w:szCs w:val="20"/>
                <w:color w:val="auto"/>
              </w:rPr>
            </w:pPr>
            <w:r>
              <w:rPr>
                <w:rFonts w:ascii="Arial" w:cs="Arial" w:eastAsia="Arial" w:hAnsi="Arial"/>
                <w:sz w:val="9"/>
                <w:szCs w:val="9"/>
                <w:b w:val="1"/>
                <w:bCs w:val="1"/>
                <w:color w:val="auto"/>
              </w:rPr>
              <w:t>2024</w:t>
            </w:r>
          </w:p>
        </w:tc>
        <w:tc>
          <w:tcPr>
            <w:tcW w:w="80" w:type="dxa"/>
            <w:vAlign w:val="bottom"/>
            <w:tcBorders>
              <w:bottom w:val="single" w:sz="8" w:color="2C6937"/>
            </w:tcBorders>
          </w:tcPr>
          <w:p>
            <w:pPr>
              <w:spacing w:after="0"/>
              <w:rPr>
                <w:sz w:val="11"/>
                <w:szCs w:val="11"/>
                <w:color w:val="auto"/>
              </w:rPr>
            </w:pPr>
          </w:p>
        </w:tc>
        <w:tc>
          <w:tcPr>
            <w:tcW w:w="100" w:type="dxa"/>
            <w:vAlign w:val="bottom"/>
            <w:tcBorders>
              <w:bottom w:val="single" w:sz="8" w:color="2C6937"/>
            </w:tcBorders>
          </w:tcPr>
          <w:p>
            <w:pPr>
              <w:spacing w:after="0"/>
              <w:rPr>
                <w:sz w:val="11"/>
                <w:szCs w:val="11"/>
                <w:color w:val="auto"/>
              </w:rPr>
            </w:pPr>
          </w:p>
        </w:tc>
        <w:tc>
          <w:tcPr>
            <w:tcW w:w="760" w:type="dxa"/>
            <w:vAlign w:val="bottom"/>
            <w:tcBorders>
              <w:bottom w:val="single" w:sz="8" w:color="2C6937"/>
            </w:tcBorders>
          </w:tcPr>
          <w:p>
            <w:pPr>
              <w:jc w:val="center"/>
              <w:ind w:right="50"/>
              <w:spacing w:after="0" w:line="138" w:lineRule="exact"/>
              <w:rPr>
                <w:sz w:val="20"/>
                <w:szCs w:val="20"/>
                <w:color w:val="auto"/>
              </w:rPr>
            </w:pPr>
            <w:r>
              <w:rPr>
                <w:rFonts w:ascii="Arial" w:cs="Arial" w:eastAsia="Arial" w:hAnsi="Arial"/>
                <w:sz w:val="15"/>
                <w:szCs w:val="15"/>
                <w:b w:val="1"/>
                <w:bCs w:val="1"/>
                <w:color w:val="auto"/>
                <w:w w:val="98"/>
                <w:vertAlign w:val="subscript"/>
              </w:rPr>
              <w:t>2024</w:t>
            </w:r>
            <w:r>
              <w:rPr>
                <w:rFonts w:ascii="Arial" w:cs="Arial" w:eastAsia="Arial" w:hAnsi="Arial"/>
                <w:sz w:val="5"/>
                <w:szCs w:val="5"/>
                <w:b w:val="1"/>
                <w:bCs w:val="1"/>
                <w:color w:val="auto"/>
                <w:w w:val="98"/>
              </w:rPr>
              <w:t>(4)(5)</w:t>
            </w:r>
          </w:p>
        </w:tc>
        <w:tc>
          <w:tcPr>
            <w:tcW w:w="100" w:type="dxa"/>
            <w:vAlign w:val="bottom"/>
            <w:tcBorders>
              <w:bottom w:val="single" w:sz="8" w:color="2C6937"/>
            </w:tcBorders>
          </w:tcPr>
          <w:p>
            <w:pPr>
              <w:spacing w:after="0"/>
              <w:rPr>
                <w:sz w:val="11"/>
                <w:szCs w:val="11"/>
                <w:color w:val="auto"/>
              </w:rPr>
            </w:pPr>
          </w:p>
        </w:tc>
        <w:tc>
          <w:tcPr>
            <w:tcW w:w="60" w:type="dxa"/>
            <w:vAlign w:val="bottom"/>
            <w:tcBorders>
              <w:bottom w:val="single" w:sz="8" w:color="2C6937"/>
            </w:tcBorders>
          </w:tcPr>
          <w:p>
            <w:pPr>
              <w:spacing w:after="0"/>
              <w:rPr>
                <w:sz w:val="11"/>
                <w:szCs w:val="11"/>
                <w:color w:val="auto"/>
              </w:rPr>
            </w:pPr>
          </w:p>
        </w:tc>
        <w:tc>
          <w:tcPr>
            <w:tcW w:w="820" w:type="dxa"/>
            <w:vAlign w:val="bottom"/>
            <w:tcBorders>
              <w:bottom w:val="single" w:sz="8" w:color="2C6937"/>
            </w:tcBorders>
          </w:tcPr>
          <w:p>
            <w:pPr>
              <w:jc w:val="center"/>
              <w:ind w:right="29"/>
              <w:spacing w:after="0"/>
              <w:rPr>
                <w:sz w:val="20"/>
                <w:szCs w:val="20"/>
                <w:color w:val="auto"/>
              </w:rPr>
            </w:pPr>
            <w:r>
              <w:rPr>
                <w:rFonts w:ascii="Arial" w:cs="Arial" w:eastAsia="Arial" w:hAnsi="Arial"/>
                <w:sz w:val="9"/>
                <w:szCs w:val="9"/>
                <w:b w:val="1"/>
                <w:bCs w:val="1"/>
                <w:color w:val="auto"/>
                <w:w w:val="89"/>
              </w:rPr>
              <w:t>2024</w:t>
            </w:r>
            <w:r>
              <w:rPr>
                <w:rFonts w:ascii="Arial" w:cs="Arial" w:eastAsia="Arial" w:hAnsi="Arial"/>
                <w:sz w:val="11"/>
                <w:szCs w:val="11"/>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300"/>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Trading securities:</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Mortgage-related</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(1)</w:t>
            </w:r>
          </w:p>
        </w:tc>
        <w:tc>
          <w:tcPr>
            <w:tcW w:w="360" w:type="dxa"/>
            <w:vAlign w:val="bottom"/>
          </w:tcPr>
          <w:p>
            <w:pPr>
              <w:ind w:left="20"/>
              <w:spacing w:after="0"/>
              <w:rPr>
                <w:sz w:val="20"/>
                <w:szCs w:val="20"/>
                <w:color w:val="auto"/>
              </w:rPr>
            </w:pPr>
            <w:r>
              <w:rPr>
                <w:rFonts w:ascii="Arial" w:cs="Arial" w:eastAsia="Arial" w:hAnsi="Arial"/>
                <w:sz w:val="7"/>
                <w:szCs w:val="7"/>
                <w:color w:val="auto"/>
              </w:rPr>
              <w:t>(5)(6)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5"/>
                <w:szCs w:val="15"/>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ind w:left="60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4"/>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Available-for-sale</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440" w:type="dxa"/>
            <w:vAlign w:val="bottom"/>
            <w:gridSpan w:val="2"/>
          </w:tcPr>
          <w:p>
            <w:pPr>
              <w:ind w:left="140"/>
              <w:spacing w:after="0"/>
              <w:rPr>
                <w:sz w:val="20"/>
                <w:szCs w:val="20"/>
                <w:color w:val="auto"/>
              </w:rPr>
            </w:pPr>
            <w:r>
              <w:rPr>
                <w:rFonts w:ascii="Arial" w:cs="Arial" w:eastAsia="Arial" w:hAnsi="Arial"/>
                <w:sz w:val="11"/>
                <w:szCs w:val="11"/>
                <w:color w:val="auto"/>
              </w:rPr>
              <w:t>securities: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Agency</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331</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315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1340" w:type="dxa"/>
            <w:vAlign w:val="bottom"/>
            <w:tcBorders>
              <w:bottom w:val="single" w:sz="8" w:color="2C6937"/>
            </w:tcBorders>
          </w:tcPr>
          <w:p>
            <w:pPr>
              <w:ind w:left="60"/>
              <w:spacing w:after="0"/>
              <w:rPr>
                <w:sz w:val="20"/>
                <w:szCs w:val="20"/>
                <w:color w:val="auto"/>
              </w:rPr>
            </w:pPr>
            <w:r>
              <w:rPr>
                <w:rFonts w:ascii="Arial" w:cs="Arial" w:eastAsia="Arial" w:hAnsi="Arial"/>
                <w:sz w:val="11"/>
                <w:szCs w:val="11"/>
                <w:color w:val="auto"/>
              </w:rPr>
              <w:t>Other mortgage-related</w:t>
            </w: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183</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36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2</w:t>
            </w:r>
          </w:p>
        </w:tc>
        <w:tc>
          <w:tcPr>
            <w:tcW w:w="36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146</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available-for-sale</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7"/>
                <w:szCs w:val="7"/>
                <w:color w:val="auto"/>
              </w:rPr>
              <w:t>(6)(7)</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40" w:type="dxa"/>
            <w:vAlign w:val="bottom"/>
            <w:tcBorders>
              <w:bottom w:val="single" w:sz="8" w:color="2C6937"/>
            </w:tcBorders>
          </w:tcPr>
          <w:p>
            <w:pPr>
              <w:ind w:left="140"/>
              <w:spacing w:after="0"/>
              <w:rPr>
                <w:sz w:val="20"/>
                <w:szCs w:val="20"/>
                <w:color w:val="auto"/>
              </w:rPr>
            </w:pPr>
            <w:r>
              <w:rPr>
                <w:rFonts w:ascii="Arial" w:cs="Arial" w:eastAsia="Arial" w:hAnsi="Arial"/>
                <w:sz w:val="11"/>
                <w:szCs w:val="11"/>
                <w:color w:val="auto"/>
              </w:rPr>
              <w:t>securities</w:t>
            </w:r>
          </w:p>
        </w:tc>
        <w:tc>
          <w:tcPr>
            <w:tcW w:w="100" w:type="dxa"/>
            <w:vAlign w:val="bottom"/>
          </w:tcPr>
          <w:p>
            <w:pPr>
              <w:spacing w:after="0"/>
              <w:rPr>
                <w:sz w:val="14"/>
                <w:szCs w:val="14"/>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514</w:t>
            </w:r>
          </w:p>
        </w:tc>
        <w:tc>
          <w:tcPr>
            <w:tcW w:w="80" w:type="dxa"/>
            <w:vAlign w:val="bottom"/>
          </w:tcPr>
          <w:p>
            <w:pPr>
              <w:spacing w:after="0"/>
              <w:rPr>
                <w:sz w:val="14"/>
                <w:szCs w:val="14"/>
                <w:color w:val="auto"/>
              </w:rPr>
            </w:pPr>
          </w:p>
        </w:tc>
        <w:tc>
          <w:tcPr>
            <w:tcW w:w="200" w:type="dxa"/>
            <w:vAlign w:val="bottom"/>
            <w:tcBorders>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2</w:t>
            </w:r>
          </w:p>
        </w:tc>
        <w:tc>
          <w:tcPr>
            <w:tcW w:w="36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200" w:type="dxa"/>
            <w:vAlign w:val="bottom"/>
            <w:tcBorders>
              <w:bottom w:val="single" w:sz="8" w:color="2C6937"/>
            </w:tcBorders>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461</w:t>
            </w:r>
          </w:p>
        </w:tc>
        <w:tc>
          <w:tcPr>
            <w:tcW w:w="8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2C6937"/>
            </w:tcBorders>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2C6937"/>
            </w:tcBorders>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60" w:type="dxa"/>
            <w:vAlign w:val="bottom"/>
            <w:tcBorders>
              <w:bottom w:val="single" w:sz="8" w:color="2C6937"/>
            </w:tcBorders>
          </w:tcPr>
          <w:p>
            <w:pPr>
              <w:spacing w:after="0"/>
              <w:rPr>
                <w:sz w:val="2"/>
                <w:szCs w:val="2"/>
                <w:color w:val="auto"/>
              </w:rPr>
            </w:pPr>
          </w:p>
        </w:tc>
        <w:tc>
          <w:tcPr>
            <w:tcW w:w="360" w:type="dxa"/>
            <w:vAlign w:val="bottom"/>
            <w:vMerge w:val="restart"/>
          </w:tcPr>
          <w:p>
            <w:pPr>
              <w:ind w:left="20"/>
              <w:spacing w:after="0"/>
              <w:rPr>
                <w:sz w:val="20"/>
                <w:szCs w:val="20"/>
                <w:color w:val="auto"/>
              </w:rPr>
            </w:pPr>
            <w:r>
              <w:rPr>
                <w:rFonts w:ascii="Arial" w:cs="Arial" w:eastAsia="Arial" w:hAnsi="Arial"/>
                <w:sz w:val="7"/>
                <w:szCs w:val="7"/>
                <w:color w:val="auto"/>
              </w:rPr>
              <w:t>(5)(6)</w:t>
            </w: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6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Mortgage loans</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477</w:t>
            </w:r>
          </w:p>
        </w:tc>
        <w:tc>
          <w:tcPr>
            <w:tcW w:w="80" w:type="dxa"/>
            <w:vAlign w:val="bottom"/>
          </w:tcPr>
          <w:p>
            <w:pPr>
              <w:spacing w:after="0"/>
              <w:rPr>
                <w:sz w:val="23"/>
                <w:szCs w:val="23"/>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(3)</w:t>
            </w:r>
          </w:p>
        </w:tc>
        <w:tc>
          <w:tcPr>
            <w:tcW w:w="360" w:type="dxa"/>
            <w:vAlign w:val="bottom"/>
            <w:vMerge w:val="continue"/>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ind w:left="280"/>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23"/>
                <w:szCs w:val="23"/>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425</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ind w:left="60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22"/>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Net derivatives</w:t>
            </w:r>
          </w:p>
        </w:tc>
        <w:tc>
          <w:tcPr>
            <w:tcW w:w="140" w:type="dxa"/>
            <w:vAlign w:val="bottom"/>
          </w:tcPr>
          <w:p>
            <w:pPr>
              <w:spacing w:after="0"/>
              <w:rPr>
                <w:sz w:val="24"/>
                <w:szCs w:val="24"/>
                <w:color w:val="auto"/>
              </w:rPr>
            </w:pP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77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(12)</w:t>
            </w:r>
          </w:p>
        </w:tc>
        <w:tc>
          <w:tcPr>
            <w:tcW w:w="360" w:type="dxa"/>
            <w:vAlign w:val="bottom"/>
          </w:tcPr>
          <w:p>
            <w:pPr>
              <w:ind w:left="20"/>
              <w:spacing w:after="0"/>
              <w:rPr>
                <w:sz w:val="20"/>
                <w:szCs w:val="20"/>
                <w:color w:val="auto"/>
              </w:rPr>
            </w:pPr>
            <w:r>
              <w:rPr>
                <w:rFonts w:ascii="Arial" w:cs="Arial" w:eastAsia="Arial" w:hAnsi="Arial"/>
                <w:sz w:val="7"/>
                <w:szCs w:val="7"/>
                <w:color w:val="auto"/>
              </w:rPr>
              <w:t>(5)</w:t>
            </w:r>
          </w:p>
        </w:tc>
        <w:tc>
          <w:tcPr>
            <w:tcW w:w="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4"/>
                <w:szCs w:val="24"/>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94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580"/>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9"/>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Long-term debt: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440" w:type="dxa"/>
            <w:vAlign w:val="bottom"/>
            <w:gridSpan w:val="2"/>
          </w:tcPr>
          <w:p>
            <w:pPr>
              <w:ind w:left="100"/>
              <w:spacing w:after="0"/>
              <w:rPr>
                <w:sz w:val="20"/>
                <w:szCs w:val="20"/>
                <w:color w:val="auto"/>
              </w:rPr>
            </w:pPr>
            <w:r>
              <w:rPr>
                <w:rFonts w:ascii="Arial" w:cs="Arial" w:eastAsia="Arial" w:hAnsi="Arial"/>
                <w:sz w:val="11"/>
                <w:szCs w:val="11"/>
                <w:color w:val="auto"/>
              </w:rPr>
              <w:t>Of Fannie Mae</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(268)</w:t>
            </w:r>
          </w:p>
        </w:tc>
        <w:tc>
          <w:tcPr>
            <w:tcW w:w="80" w:type="dxa"/>
            <w:vAlign w:val="bottom"/>
          </w:tcPr>
          <w:p>
            <w:pPr>
              <w:spacing w:after="0"/>
              <w:rPr>
                <w:sz w:val="14"/>
                <w:szCs w:val="1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(2)</w:t>
            </w:r>
          </w:p>
        </w:tc>
        <w:tc>
          <w:tcPr>
            <w:tcW w:w="360" w:type="dxa"/>
            <w:vAlign w:val="bottom"/>
          </w:tcPr>
          <w:p>
            <w:pPr>
              <w:ind w:left="20"/>
              <w:spacing w:after="0"/>
              <w:rPr>
                <w:sz w:val="20"/>
                <w:szCs w:val="20"/>
                <w:color w:val="auto"/>
              </w:rPr>
            </w:pPr>
            <w:r>
              <w:rPr>
                <w:rFonts w:ascii="Arial" w:cs="Arial" w:eastAsia="Arial" w:hAnsi="Arial"/>
                <w:sz w:val="7"/>
                <w:szCs w:val="7"/>
                <w:color w:val="auto"/>
              </w:rPr>
              <w:t>(5)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(270)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ind w:left="600"/>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9"/>
        </w:trPr>
        <w:tc>
          <w:tcPr>
            <w:tcW w:w="1340" w:type="dxa"/>
            <w:vAlign w:val="bottom"/>
            <w:tcBorders>
              <w:bottom w:val="single" w:sz="8" w:color="2C6937"/>
            </w:tcBorders>
          </w:tcPr>
          <w:p>
            <w:pPr>
              <w:ind w:left="100"/>
              <w:spacing w:after="0"/>
              <w:rPr>
                <w:sz w:val="20"/>
                <w:szCs w:val="20"/>
                <w:color w:val="auto"/>
              </w:rPr>
            </w:pPr>
            <w:r>
              <w:rPr>
                <w:rFonts w:ascii="Arial" w:cs="Arial" w:eastAsia="Arial" w:hAnsi="Arial"/>
                <w:sz w:val="11"/>
                <w:szCs w:val="11"/>
                <w:color w:val="auto"/>
              </w:rPr>
              <w:t>Of consolidated trusts</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(117)</w:t>
            </w:r>
          </w:p>
        </w:tc>
        <w:tc>
          <w:tcPr>
            <w:tcW w:w="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360" w:type="dxa"/>
            <w:vAlign w:val="bottom"/>
          </w:tcPr>
          <w:p>
            <w:pPr>
              <w:ind w:left="20"/>
              <w:spacing w:after="0"/>
              <w:rPr>
                <w:sz w:val="20"/>
                <w:szCs w:val="20"/>
                <w:color w:val="auto"/>
              </w:rPr>
            </w:pPr>
            <w:r>
              <w:rPr>
                <w:rFonts w:ascii="Arial" w:cs="Arial" w:eastAsia="Arial" w:hAnsi="Arial"/>
                <w:sz w:val="7"/>
                <w:szCs w:val="7"/>
                <w:color w:val="auto"/>
              </w:rPr>
              <w:t>(5)(6)</w:t>
            </w:r>
          </w:p>
        </w:tc>
        <w:tc>
          <w:tcPr>
            <w:tcW w:w="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44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(110)</w:t>
            </w:r>
          </w:p>
        </w:tc>
        <w:tc>
          <w:tcPr>
            <w:tcW w:w="8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ind w:left="60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3"/>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long-term debt</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(385)</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(3)</w:t>
            </w:r>
          </w:p>
        </w:tc>
        <w:tc>
          <w:tcPr>
            <w:tcW w:w="3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(380)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ind w:left="600"/>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
        </w:trPr>
        <w:tc>
          <w:tcPr>
            <w:tcW w:w="13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68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360" w:type="dxa"/>
            <w:vAlign w:val="bottom"/>
            <w:tcBorders>
              <w:top w:val="single" w:sz="8" w:color="2C6937"/>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6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8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7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52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6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6937"/>
              <w:bottom w:val="single" w:sz="8" w:color="2C6937"/>
            </w:tcBorders>
          </w:tcPr>
          <w:p>
            <w:pPr>
              <w:spacing w:after="0"/>
              <w:rPr>
                <w:sz w:val="2"/>
                <w:szCs w:val="2"/>
                <w:color w:val="auto"/>
              </w:rPr>
            </w:pPr>
          </w:p>
        </w:tc>
        <w:tc>
          <w:tcPr>
            <w:tcW w:w="82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45"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For the 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18415</wp:posOffset>
            </wp:positionV>
            <wp:extent cx="620522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20522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Net Unrealized</w:t>
            </w: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5"/>
          </w:tcPr>
          <w:p>
            <w:pPr>
              <w:ind w:left="120"/>
              <w:spacing w:after="0"/>
              <w:rPr>
                <w:sz w:val="20"/>
                <w:szCs w:val="20"/>
                <w:color w:val="auto"/>
              </w:rPr>
            </w:pPr>
            <w:r>
              <w:rPr>
                <w:rFonts w:ascii="Arial" w:cs="Arial" w:eastAsia="Arial" w:hAnsi="Arial"/>
                <w:sz w:val="9"/>
                <w:szCs w:val="9"/>
                <w:b w:val="1"/>
                <w:bCs w:val="1"/>
                <w:color w:val="auto"/>
              </w:rPr>
              <w:t>Total Gains (Losses)</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6"/>
              </w:rPr>
              <w:t>Gains (Losses)</w:t>
            </w:r>
          </w:p>
        </w:tc>
        <w:tc>
          <w:tcPr>
            <w:tcW w:w="60" w:type="dxa"/>
            <w:vAlign w:val="bottom"/>
          </w:tcPr>
          <w:p>
            <w:pPr>
              <w:spacing w:after="0"/>
              <w:rPr>
                <w:sz w:val="9"/>
                <w:szCs w:val="9"/>
                <w:color w:val="auto"/>
              </w:rPr>
            </w:pPr>
          </w:p>
        </w:tc>
        <w:tc>
          <w:tcPr>
            <w:tcW w:w="820" w:type="dxa"/>
            <w:vAlign w:val="bottom"/>
          </w:tcPr>
          <w:p>
            <w:pPr>
              <w:jc w:val="center"/>
              <w:ind w:right="49"/>
              <w:spacing w:after="0"/>
              <w:rPr>
                <w:sz w:val="20"/>
                <w:szCs w:val="20"/>
                <w:color w:val="auto"/>
              </w:rPr>
            </w:pPr>
            <w:r>
              <w:rPr>
                <w:rFonts w:ascii="Arial" w:cs="Arial" w:eastAsia="Arial" w:hAnsi="Arial"/>
                <w:sz w:val="9"/>
                <w:szCs w:val="9"/>
                <w:b w:val="1"/>
                <w:bCs w:val="1"/>
                <w:color w:val="auto"/>
                <w:w w:val="95"/>
              </w:rPr>
              <w:t>Net Unrealized</w:t>
            </w:r>
          </w:p>
        </w:tc>
        <w:tc>
          <w:tcPr>
            <w:tcW w:w="0" w:type="dxa"/>
            <w:vAlign w:val="bottom"/>
          </w:tcPr>
          <w:p>
            <w:pPr>
              <w:spacing w:after="0"/>
              <w:rPr>
                <w:sz w:val="1"/>
                <w:szCs w:val="1"/>
                <w:color w:val="auto"/>
              </w:rPr>
            </w:pPr>
          </w:p>
        </w:tc>
      </w:tr>
      <w:tr>
        <w:trPr>
          <w:trHeight w:val="95"/>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gridSpan w:val="5"/>
          </w:tcPr>
          <w:p>
            <w:pPr>
              <w:ind w:left="100"/>
              <w:spacing w:after="0" w:line="95" w:lineRule="exact"/>
              <w:rPr>
                <w:sz w:val="20"/>
                <w:szCs w:val="20"/>
                <w:color w:val="auto"/>
              </w:rPr>
            </w:pPr>
            <w:r>
              <w:rPr>
                <w:rFonts w:ascii="Arial" w:cs="Arial" w:eastAsia="Arial" w:hAnsi="Arial"/>
                <w:sz w:val="9"/>
                <w:szCs w:val="9"/>
                <w:b w:val="1"/>
                <w:bCs w:val="1"/>
                <w:color w:val="auto"/>
              </w:rPr>
              <w:t>(Realized/Unrealized)</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6"/>
              </w:rPr>
              <w:t>Included in Net</w:t>
            </w:r>
          </w:p>
        </w:tc>
        <w:tc>
          <w:tcPr>
            <w:tcW w:w="60" w:type="dxa"/>
            <w:vAlign w:val="bottom"/>
          </w:tcPr>
          <w:p>
            <w:pPr>
              <w:spacing w:after="0"/>
              <w:rPr>
                <w:sz w:val="8"/>
                <w:szCs w:val="8"/>
                <w:color w:val="auto"/>
              </w:rPr>
            </w:pPr>
          </w:p>
        </w:tc>
        <w:tc>
          <w:tcPr>
            <w:tcW w:w="820" w:type="dxa"/>
            <w:vAlign w:val="bottom"/>
          </w:tcPr>
          <w:p>
            <w:pPr>
              <w:jc w:val="center"/>
              <w:ind w:right="29"/>
              <w:spacing w:after="0" w:line="95" w:lineRule="exact"/>
              <w:rPr>
                <w:sz w:val="20"/>
                <w:szCs w:val="20"/>
                <w:color w:val="auto"/>
              </w:rPr>
            </w:pPr>
            <w:r>
              <w:rPr>
                <w:rFonts w:ascii="Arial" w:cs="Arial" w:eastAsia="Arial" w:hAnsi="Arial"/>
                <w:sz w:val="9"/>
                <w:szCs w:val="9"/>
                <w:b w:val="1"/>
                <w:bCs w:val="1"/>
                <w:color w:val="auto"/>
                <w:w w:val="96"/>
              </w:rPr>
              <w:t>Gains (Losses)</w:t>
            </w:r>
          </w:p>
        </w:tc>
        <w:tc>
          <w:tcPr>
            <w:tcW w:w="0" w:type="dxa"/>
            <w:vAlign w:val="bottom"/>
          </w:tcPr>
          <w:p>
            <w:pPr>
              <w:spacing w:after="0"/>
              <w:rPr>
                <w:sz w:val="1"/>
                <w:szCs w:val="1"/>
                <w:color w:val="auto"/>
              </w:rPr>
            </w:pPr>
          </w:p>
        </w:tc>
      </w:tr>
      <w:tr>
        <w:trPr>
          <w:trHeight w:val="47"/>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80" w:type="dxa"/>
            <w:vAlign w:val="bottom"/>
            <w:tcBorders>
              <w:bottom w:val="single" w:sz="8" w:color="2C6937"/>
            </w:tcBorders>
          </w:tcPr>
          <w:p>
            <w:pPr>
              <w:spacing w:after="0"/>
              <w:rPr>
                <w:sz w:val="4"/>
                <w:szCs w:val="4"/>
                <w:color w:val="auto"/>
              </w:rPr>
            </w:pPr>
          </w:p>
        </w:tc>
        <w:tc>
          <w:tcPr>
            <w:tcW w:w="480" w:type="dxa"/>
            <w:vAlign w:val="bottom"/>
            <w:tcBorders>
              <w:bottom w:val="single" w:sz="8" w:color="2C6937"/>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9"/>
                <w:szCs w:val="9"/>
                <w:b w:val="1"/>
                <w:bCs w:val="1"/>
                <w:color w:val="auto"/>
                <w:w w:val="95"/>
              </w:rPr>
              <w:t>Income Related to</w:t>
            </w:r>
          </w:p>
        </w:tc>
        <w:tc>
          <w:tcPr>
            <w:tcW w:w="60" w:type="dxa"/>
            <w:vAlign w:val="bottom"/>
          </w:tcPr>
          <w:p>
            <w:pPr>
              <w:spacing w:after="0"/>
              <w:rPr>
                <w:sz w:val="4"/>
                <w:szCs w:val="4"/>
                <w:color w:val="auto"/>
              </w:rPr>
            </w:pPr>
          </w:p>
        </w:tc>
        <w:tc>
          <w:tcPr>
            <w:tcW w:w="820" w:type="dxa"/>
            <w:vAlign w:val="bottom"/>
            <w:vMerge w:val="restart"/>
          </w:tcPr>
          <w:p>
            <w:pPr>
              <w:jc w:val="center"/>
              <w:ind w:right="29"/>
              <w:spacing w:after="0"/>
              <w:rPr>
                <w:sz w:val="20"/>
                <w:szCs w:val="20"/>
                <w:color w:val="auto"/>
              </w:rPr>
            </w:pPr>
            <w:r>
              <w:rPr>
                <w:rFonts w:ascii="Arial" w:cs="Arial" w:eastAsia="Arial" w:hAnsi="Arial"/>
                <w:sz w:val="9"/>
                <w:szCs w:val="9"/>
                <w:b w:val="1"/>
                <w:bCs w:val="1"/>
                <w:color w:val="auto"/>
                <w:w w:val="93"/>
              </w:rPr>
              <w:t>Included in OCI</w:t>
            </w:r>
          </w:p>
        </w:tc>
        <w:tc>
          <w:tcPr>
            <w:tcW w:w="0" w:type="dxa"/>
            <w:vAlign w:val="bottom"/>
          </w:tcPr>
          <w:p>
            <w:pPr>
              <w:spacing w:after="0"/>
              <w:rPr>
                <w:sz w:val="1"/>
                <w:szCs w:val="1"/>
                <w:color w:val="auto"/>
              </w:rPr>
            </w:pPr>
          </w:p>
        </w:tc>
      </w:tr>
      <w:tr>
        <w:trPr>
          <w:trHeight w:val="36"/>
        </w:trPr>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Assets and</w:t>
            </w:r>
          </w:p>
        </w:tc>
        <w:tc>
          <w:tcPr>
            <w:tcW w:w="60" w:type="dxa"/>
            <w:vAlign w:val="bottom"/>
          </w:tcPr>
          <w:p>
            <w:pPr>
              <w:spacing w:after="0"/>
              <w:rPr>
                <w:sz w:val="8"/>
                <w:szCs w:val="8"/>
                <w:color w:val="auto"/>
              </w:rPr>
            </w:pPr>
          </w:p>
        </w:tc>
        <w:tc>
          <w:tcPr>
            <w:tcW w:w="820" w:type="dxa"/>
            <w:vAlign w:val="bottom"/>
          </w:tcPr>
          <w:p>
            <w:pPr>
              <w:jc w:val="center"/>
              <w:ind w:right="49"/>
              <w:spacing w:after="0"/>
              <w:rPr>
                <w:sz w:val="20"/>
                <w:szCs w:val="20"/>
                <w:color w:val="auto"/>
              </w:rPr>
            </w:pPr>
            <w:r>
              <w:rPr>
                <w:rFonts w:ascii="Arial" w:cs="Arial" w:eastAsia="Arial" w:hAnsi="Arial"/>
                <w:sz w:val="9"/>
                <w:szCs w:val="9"/>
                <w:b w:val="1"/>
                <w:bCs w:val="1"/>
                <w:color w:val="auto"/>
                <w:w w:val="95"/>
              </w:rPr>
              <w:t>Related to Assets</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6"/>
              </w:rPr>
              <w:t>Included in</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4"/>
              </w:rPr>
              <w:t>Liabilities Still Held</w:t>
            </w: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3"/>
              </w:rPr>
              <w:t>and Liabilities Still</w:t>
            </w:r>
          </w:p>
        </w:tc>
        <w:tc>
          <w:tcPr>
            <w:tcW w:w="0" w:type="dxa"/>
            <w:vAlign w:val="bottom"/>
          </w:tcPr>
          <w:p>
            <w:pPr>
              <w:spacing w:after="0"/>
              <w:rPr>
                <w:sz w:val="1"/>
                <w:szCs w:val="1"/>
                <w:color w:val="auto"/>
              </w:rPr>
            </w:pPr>
          </w:p>
        </w:tc>
      </w:tr>
      <w:tr>
        <w:trPr>
          <w:trHeight w:val="96"/>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3"/>
          </w:tcPr>
          <w:p>
            <w:pPr>
              <w:ind w:left="20"/>
              <w:spacing w:after="0" w:line="96" w:lineRule="exact"/>
              <w:rPr>
                <w:sz w:val="20"/>
                <w:szCs w:val="20"/>
                <w:color w:val="auto"/>
              </w:rPr>
            </w:pPr>
            <w:r>
              <w:rPr>
                <w:rFonts w:ascii="Arial" w:cs="Arial" w:eastAsia="Arial" w:hAnsi="Arial"/>
                <w:sz w:val="9"/>
                <w:szCs w:val="9"/>
                <w:b w:val="1"/>
                <w:bCs w:val="1"/>
                <w:color w:val="auto"/>
              </w:rPr>
              <w:t>Balance, March 31,</w:t>
            </w:r>
          </w:p>
        </w:tc>
        <w:tc>
          <w:tcPr>
            <w:tcW w:w="560" w:type="dxa"/>
            <w:vAlign w:val="bottom"/>
            <w:gridSpan w:val="2"/>
          </w:tcPr>
          <w:p>
            <w:pPr>
              <w:jc w:val="right"/>
              <w:ind w:right="11"/>
              <w:spacing w:after="0" w:line="96" w:lineRule="exact"/>
              <w:rPr>
                <w:sz w:val="20"/>
                <w:szCs w:val="20"/>
                <w:color w:val="auto"/>
              </w:rPr>
            </w:pPr>
            <w:r>
              <w:rPr>
                <w:rFonts w:ascii="Arial" w:cs="Arial" w:eastAsia="Arial" w:hAnsi="Arial"/>
                <w:sz w:val="9"/>
                <w:szCs w:val="9"/>
                <w:b w:val="1"/>
                <w:bCs w:val="1"/>
                <w:color w:val="auto"/>
              </w:rPr>
              <w:t>Included in</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200"/>
              <w:spacing w:after="0" w:line="96" w:lineRule="exact"/>
              <w:rPr>
                <w:sz w:val="20"/>
                <w:szCs w:val="20"/>
                <w:color w:val="auto"/>
              </w:rPr>
            </w:pPr>
            <w:r>
              <w:rPr>
                <w:rFonts w:ascii="Arial" w:cs="Arial" w:eastAsia="Arial" w:hAnsi="Arial"/>
                <w:sz w:val="9"/>
                <w:szCs w:val="9"/>
                <w:b w:val="1"/>
                <w:bCs w:val="1"/>
                <w:color w:val="auto"/>
                <w:w w:val="94"/>
              </w:rPr>
              <w:t>Total OCI</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3"/>
          </w:tcPr>
          <w:p>
            <w:pPr>
              <w:ind w:left="40"/>
              <w:spacing w:after="0" w:line="96" w:lineRule="exact"/>
              <w:rPr>
                <w:sz w:val="20"/>
                <w:szCs w:val="20"/>
                <w:color w:val="auto"/>
              </w:rPr>
            </w:pPr>
            <w:r>
              <w:rPr>
                <w:rFonts w:ascii="Arial" w:cs="Arial" w:eastAsia="Arial" w:hAnsi="Arial"/>
                <w:sz w:val="9"/>
                <w:szCs w:val="9"/>
                <w:b w:val="1"/>
                <w:bCs w:val="1"/>
                <w:color w:val="auto"/>
              </w:rPr>
              <w:t>Transfers out</w:t>
            </w:r>
          </w:p>
        </w:tc>
        <w:tc>
          <w:tcPr>
            <w:tcW w:w="720" w:type="dxa"/>
            <w:vAlign w:val="bottom"/>
            <w:gridSpan w:val="3"/>
          </w:tcPr>
          <w:p>
            <w:pPr>
              <w:ind w:left="20"/>
              <w:spacing w:after="0" w:line="96" w:lineRule="exact"/>
              <w:rPr>
                <w:sz w:val="20"/>
                <w:szCs w:val="20"/>
                <w:color w:val="auto"/>
              </w:rPr>
            </w:pPr>
            <w:r>
              <w:rPr>
                <w:rFonts w:ascii="Arial" w:cs="Arial" w:eastAsia="Arial" w:hAnsi="Arial"/>
                <w:sz w:val="9"/>
                <w:szCs w:val="9"/>
                <w:b w:val="1"/>
                <w:bCs w:val="1"/>
                <w:color w:val="auto"/>
              </w:rPr>
              <w:t>Transfers into</w:t>
            </w:r>
          </w:p>
        </w:tc>
        <w:tc>
          <w:tcPr>
            <w:tcW w:w="920" w:type="dxa"/>
            <w:vAlign w:val="bottom"/>
            <w:gridSpan w:val="3"/>
          </w:tcPr>
          <w:p>
            <w:pPr>
              <w:ind w:left="60"/>
              <w:spacing w:after="0" w:line="96" w:lineRule="exact"/>
              <w:rPr>
                <w:sz w:val="20"/>
                <w:szCs w:val="20"/>
                <w:color w:val="auto"/>
              </w:rPr>
            </w:pPr>
            <w:r>
              <w:rPr>
                <w:rFonts w:ascii="Arial" w:cs="Arial" w:eastAsia="Arial" w:hAnsi="Arial"/>
                <w:sz w:val="9"/>
                <w:szCs w:val="9"/>
                <w:b w:val="1"/>
                <w:bCs w:val="1"/>
                <w:color w:val="auto"/>
              </w:rPr>
              <w:t>Balance, June 30,</w:t>
            </w:r>
          </w:p>
        </w:tc>
        <w:tc>
          <w:tcPr>
            <w:tcW w:w="100" w:type="dxa"/>
            <w:vAlign w:val="bottom"/>
          </w:tcPr>
          <w:p>
            <w:pPr>
              <w:spacing w:after="0"/>
              <w:rPr>
                <w:sz w:val="8"/>
                <w:szCs w:val="8"/>
                <w:color w:val="auto"/>
              </w:rPr>
            </w:pPr>
          </w:p>
        </w:tc>
        <w:tc>
          <w:tcPr>
            <w:tcW w:w="860" w:type="dxa"/>
            <w:vAlign w:val="bottom"/>
            <w:gridSpan w:val="2"/>
          </w:tcPr>
          <w:p>
            <w:pPr>
              <w:jc w:val="center"/>
              <w:ind w:right="200"/>
              <w:spacing w:after="0" w:line="96" w:lineRule="exact"/>
              <w:rPr>
                <w:sz w:val="20"/>
                <w:szCs w:val="20"/>
                <w:color w:val="auto"/>
              </w:rPr>
            </w:pPr>
            <w:r>
              <w:rPr>
                <w:rFonts w:ascii="Arial" w:cs="Arial" w:eastAsia="Arial" w:hAnsi="Arial"/>
                <w:sz w:val="9"/>
                <w:szCs w:val="9"/>
                <w:b w:val="1"/>
                <w:bCs w:val="1"/>
                <w:color w:val="auto"/>
                <w:w w:val="97"/>
              </w:rPr>
              <w:t>as of June 30,</w:t>
            </w:r>
          </w:p>
        </w:tc>
        <w:tc>
          <w:tcPr>
            <w:tcW w:w="880" w:type="dxa"/>
            <w:vAlign w:val="bottom"/>
            <w:gridSpan w:val="2"/>
          </w:tcPr>
          <w:p>
            <w:pPr>
              <w:jc w:val="center"/>
              <w:spacing w:after="0" w:line="96" w:lineRule="exact"/>
              <w:rPr>
                <w:sz w:val="20"/>
                <w:szCs w:val="20"/>
                <w:color w:val="auto"/>
              </w:rPr>
            </w:pPr>
            <w:r>
              <w:rPr>
                <w:rFonts w:ascii="Arial" w:cs="Arial" w:eastAsia="Arial" w:hAnsi="Arial"/>
                <w:sz w:val="9"/>
                <w:szCs w:val="9"/>
                <w:b w:val="1"/>
                <w:bCs w:val="1"/>
                <w:color w:val="auto"/>
                <w:w w:val="95"/>
              </w:rPr>
              <w:t>Held as of June 30,</w:t>
            </w:r>
          </w:p>
        </w:tc>
        <w:tc>
          <w:tcPr>
            <w:tcW w:w="0" w:type="dxa"/>
            <w:vAlign w:val="bottom"/>
          </w:tcPr>
          <w:p>
            <w:pPr>
              <w:spacing w:after="0"/>
              <w:rPr>
                <w:sz w:val="1"/>
                <w:szCs w:val="1"/>
                <w:color w:val="auto"/>
              </w:rPr>
            </w:pPr>
          </w:p>
        </w:tc>
      </w:tr>
      <w:tr>
        <w:trPr>
          <w:trHeight w:val="145"/>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2C6937"/>
            </w:tcBorders>
          </w:tcPr>
          <w:p>
            <w:pPr>
              <w:spacing w:after="0"/>
              <w:rPr>
                <w:sz w:val="12"/>
                <w:szCs w:val="12"/>
                <w:color w:val="auto"/>
              </w:rPr>
            </w:pPr>
          </w:p>
        </w:tc>
        <w:tc>
          <w:tcPr>
            <w:tcW w:w="640" w:type="dxa"/>
            <w:vAlign w:val="bottom"/>
            <w:tcBorders>
              <w:bottom w:val="single" w:sz="8" w:color="2C6937"/>
            </w:tcBorders>
          </w:tcPr>
          <w:p>
            <w:pPr>
              <w:jc w:val="right"/>
              <w:ind w:right="265"/>
              <w:spacing w:after="0"/>
              <w:rPr>
                <w:sz w:val="20"/>
                <w:szCs w:val="20"/>
                <w:color w:val="auto"/>
              </w:rPr>
            </w:pPr>
            <w:r>
              <w:rPr>
                <w:rFonts w:ascii="Arial" w:cs="Arial" w:eastAsia="Arial" w:hAnsi="Arial"/>
                <w:sz w:val="9"/>
                <w:szCs w:val="9"/>
                <w:b w:val="1"/>
                <w:bCs w:val="1"/>
                <w:color w:val="auto"/>
              </w:rPr>
              <w:t>2023</w:t>
            </w:r>
          </w:p>
        </w:tc>
        <w:tc>
          <w:tcPr>
            <w:tcW w:w="8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gridSpan w:val="2"/>
          </w:tcPr>
          <w:p>
            <w:pPr>
              <w:jc w:val="right"/>
              <w:spacing w:after="0"/>
              <w:rPr>
                <w:sz w:val="20"/>
                <w:szCs w:val="20"/>
                <w:color w:val="auto"/>
              </w:rPr>
            </w:pPr>
            <w:r>
              <w:rPr>
                <w:rFonts w:ascii="Arial" w:cs="Arial" w:eastAsia="Arial" w:hAnsi="Arial"/>
                <w:sz w:val="9"/>
                <w:szCs w:val="9"/>
                <w:b w:val="1"/>
                <w:bCs w:val="1"/>
                <w:color w:val="auto"/>
              </w:rPr>
              <w:t>Net Income</w:t>
            </w:r>
          </w:p>
        </w:tc>
        <w:tc>
          <w:tcPr>
            <w:tcW w:w="36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9"/>
                <w:szCs w:val="9"/>
                <w:b w:val="1"/>
                <w:bCs w:val="1"/>
                <w:color w:val="auto"/>
                <w:w w:val="88"/>
              </w:rPr>
              <w:t>(Loss)</w:t>
            </w:r>
            <w:r>
              <w:rPr>
                <w:rFonts w:ascii="Arial" w:cs="Arial" w:eastAsia="Arial" w:hAnsi="Arial"/>
                <w:sz w:val="11"/>
                <w:szCs w:val="11"/>
                <w:b w:val="1"/>
                <w:bCs w:val="1"/>
                <w:color w:val="auto"/>
                <w:w w:val="88"/>
                <w:vertAlign w:val="superscript"/>
              </w:rPr>
              <w:t>(1)</w:t>
            </w:r>
          </w:p>
        </w:tc>
        <w:tc>
          <w:tcPr>
            <w:tcW w:w="100" w:type="dxa"/>
            <w:vAlign w:val="bottom"/>
            <w:tcBorders>
              <w:bottom w:val="single" w:sz="8" w:color="2C6937"/>
            </w:tcBorders>
          </w:tcPr>
          <w:p>
            <w:pPr>
              <w:spacing w:after="0"/>
              <w:rPr>
                <w:sz w:val="12"/>
                <w:szCs w:val="12"/>
                <w:color w:val="auto"/>
              </w:rPr>
            </w:pPr>
          </w:p>
        </w:tc>
        <w:tc>
          <w:tcPr>
            <w:tcW w:w="78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Purchases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2"/>
                <w:szCs w:val="12"/>
                <w:color w:val="auto"/>
              </w:rPr>
            </w:pPr>
          </w:p>
        </w:tc>
        <w:tc>
          <w:tcPr>
            <w:tcW w:w="54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Sales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Issues</w:t>
            </w:r>
            <w:r>
              <w:rPr>
                <w:rFonts w:ascii="Arial" w:cs="Arial" w:eastAsia="Arial" w:hAnsi="Arial"/>
                <w:sz w:val="11"/>
                <w:szCs w:val="11"/>
                <w:b w:val="1"/>
                <w:bCs w:val="1"/>
                <w:color w:val="auto"/>
                <w:vertAlign w:val="superscript"/>
              </w:rPr>
              <w:t>(3)</w:t>
            </w:r>
          </w:p>
        </w:tc>
        <w:tc>
          <w:tcPr>
            <w:tcW w:w="120" w:type="dxa"/>
            <w:vAlign w:val="bottom"/>
            <w:tcBorders>
              <w:bottom w:val="single" w:sz="8" w:color="2C6937"/>
            </w:tcBorders>
          </w:tcPr>
          <w:p>
            <w:pPr>
              <w:spacing w:after="0"/>
              <w:rPr>
                <w:sz w:val="12"/>
                <w:szCs w:val="12"/>
                <w:color w:val="auto"/>
              </w:rPr>
            </w:pPr>
          </w:p>
        </w:tc>
        <w:tc>
          <w:tcPr>
            <w:tcW w:w="82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Settlements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2"/>
                <w:szCs w:val="12"/>
                <w:color w:val="auto"/>
              </w:rPr>
            </w:pPr>
          </w:p>
        </w:tc>
        <w:tc>
          <w:tcPr>
            <w:tcW w:w="64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of Level 3</w:t>
            </w:r>
          </w:p>
        </w:tc>
        <w:tc>
          <w:tcPr>
            <w:tcW w:w="12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Level 3</w:t>
            </w:r>
          </w:p>
        </w:tc>
        <w:tc>
          <w:tcPr>
            <w:tcW w:w="200" w:type="dxa"/>
            <w:vAlign w:val="bottom"/>
            <w:tcBorders>
              <w:bottom w:val="single" w:sz="8" w:color="2C6937"/>
            </w:tcBorders>
          </w:tcPr>
          <w:p>
            <w:pPr>
              <w:spacing w:after="0"/>
              <w:rPr>
                <w:sz w:val="12"/>
                <w:szCs w:val="12"/>
                <w:color w:val="auto"/>
              </w:rPr>
            </w:pPr>
          </w:p>
        </w:tc>
        <w:tc>
          <w:tcPr>
            <w:tcW w:w="640" w:type="dxa"/>
            <w:vAlign w:val="bottom"/>
            <w:tcBorders>
              <w:bottom w:val="single" w:sz="8" w:color="2C6937"/>
            </w:tcBorders>
          </w:tcPr>
          <w:p>
            <w:pPr>
              <w:jc w:val="right"/>
              <w:ind w:right="285"/>
              <w:spacing w:after="0"/>
              <w:rPr>
                <w:sz w:val="20"/>
                <w:szCs w:val="20"/>
                <w:color w:val="auto"/>
              </w:rPr>
            </w:pPr>
            <w:r>
              <w:rPr>
                <w:rFonts w:ascii="Arial" w:cs="Arial" w:eastAsia="Arial" w:hAnsi="Arial"/>
                <w:sz w:val="9"/>
                <w:szCs w:val="9"/>
                <w:b w:val="1"/>
                <w:bCs w:val="1"/>
                <w:color w:val="auto"/>
              </w:rPr>
              <w:t>2023</w:t>
            </w:r>
          </w:p>
        </w:tc>
        <w:tc>
          <w:tcPr>
            <w:tcW w:w="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760" w:type="dxa"/>
            <w:vAlign w:val="bottom"/>
            <w:tcBorders>
              <w:bottom w:val="single" w:sz="8" w:color="2C6937"/>
            </w:tcBorders>
          </w:tcPr>
          <w:p>
            <w:pPr>
              <w:jc w:val="center"/>
              <w:ind w:right="50"/>
              <w:spacing w:after="0" w:line="145" w:lineRule="exact"/>
              <w:rPr>
                <w:sz w:val="20"/>
                <w:szCs w:val="20"/>
                <w:color w:val="auto"/>
              </w:rPr>
            </w:pPr>
            <w:r>
              <w:rPr>
                <w:rFonts w:ascii="Arial" w:cs="Arial" w:eastAsia="Arial" w:hAnsi="Arial"/>
                <w:sz w:val="16"/>
                <w:szCs w:val="16"/>
                <w:b w:val="1"/>
                <w:bCs w:val="1"/>
                <w:color w:val="auto"/>
                <w:w w:val="94"/>
                <w:vertAlign w:val="subscript"/>
              </w:rPr>
              <w:t>2023</w:t>
            </w:r>
            <w:r>
              <w:rPr>
                <w:rFonts w:ascii="Arial" w:cs="Arial" w:eastAsia="Arial" w:hAnsi="Arial"/>
                <w:sz w:val="5"/>
                <w:szCs w:val="5"/>
                <w:b w:val="1"/>
                <w:bCs w:val="1"/>
                <w:color w:val="auto"/>
                <w:w w:val="94"/>
              </w:rPr>
              <w:t>(4)(5)</w:t>
            </w:r>
          </w:p>
        </w:tc>
        <w:tc>
          <w:tcPr>
            <w:tcW w:w="100" w:type="dxa"/>
            <w:vAlign w:val="bottom"/>
            <w:tcBorders>
              <w:bottom w:val="single" w:sz="8" w:color="2C6937"/>
            </w:tcBorders>
          </w:tcPr>
          <w:p>
            <w:pPr>
              <w:spacing w:after="0"/>
              <w:rPr>
                <w:sz w:val="12"/>
                <w:szCs w:val="12"/>
                <w:color w:val="auto"/>
              </w:rPr>
            </w:pPr>
          </w:p>
        </w:tc>
        <w:tc>
          <w:tcPr>
            <w:tcW w:w="60" w:type="dxa"/>
            <w:vAlign w:val="bottom"/>
            <w:tcBorders>
              <w:bottom w:val="single" w:sz="8" w:color="2C6937"/>
            </w:tcBorders>
          </w:tcPr>
          <w:p>
            <w:pPr>
              <w:spacing w:after="0"/>
              <w:rPr>
                <w:sz w:val="12"/>
                <w:szCs w:val="12"/>
                <w:color w:val="auto"/>
              </w:rPr>
            </w:pPr>
          </w:p>
        </w:tc>
        <w:tc>
          <w:tcPr>
            <w:tcW w:w="820" w:type="dxa"/>
            <w:vAlign w:val="bottom"/>
            <w:tcBorders>
              <w:bottom w:val="single" w:sz="8" w:color="2C6937"/>
            </w:tcBorders>
          </w:tcPr>
          <w:p>
            <w:pPr>
              <w:jc w:val="center"/>
              <w:ind w:right="29"/>
              <w:spacing w:after="0"/>
              <w:rPr>
                <w:sz w:val="20"/>
                <w:szCs w:val="20"/>
                <w:color w:val="auto"/>
              </w:rPr>
            </w:pPr>
            <w:r>
              <w:rPr>
                <w:rFonts w:ascii="Arial" w:cs="Arial" w:eastAsia="Arial" w:hAnsi="Arial"/>
                <w:sz w:val="9"/>
                <w:szCs w:val="9"/>
                <w:b w:val="1"/>
                <w:bCs w:val="1"/>
                <w:color w:val="auto"/>
                <w:w w:val="89"/>
              </w:rPr>
              <w:t>2023</w:t>
            </w:r>
            <w:r>
              <w:rPr>
                <w:rFonts w:ascii="Arial" w:cs="Arial" w:eastAsia="Arial" w:hAnsi="Arial"/>
                <w:sz w:val="11"/>
                <w:szCs w:val="11"/>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300"/>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Trading securities: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Mortgage-related</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18"/>
                <w:szCs w:val="18"/>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46"/>
              <w:spacing w:after="0" w:line="213" w:lineRule="exact"/>
              <w:rPr>
                <w:sz w:val="20"/>
                <w:szCs w:val="20"/>
                <w:color w:val="auto"/>
              </w:rPr>
            </w:pPr>
            <w:r>
              <w:rPr>
                <w:rFonts w:ascii="Arial" w:cs="Arial" w:eastAsia="Arial" w:hAnsi="Arial"/>
                <w:sz w:val="22"/>
                <w:szCs w:val="22"/>
                <w:color w:val="auto"/>
                <w:vertAlign w:val="subscript"/>
              </w:rPr>
              <w:t>(2)</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ind w:left="60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Available-for-sale</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440" w:type="dxa"/>
            <w:vAlign w:val="bottom"/>
            <w:gridSpan w:val="2"/>
          </w:tcPr>
          <w:p>
            <w:pPr>
              <w:ind w:left="140"/>
              <w:spacing w:after="0"/>
              <w:rPr>
                <w:sz w:val="20"/>
                <w:szCs w:val="20"/>
                <w:color w:val="auto"/>
              </w:rPr>
            </w:pPr>
            <w:r>
              <w:rPr>
                <w:rFonts w:ascii="Arial" w:cs="Arial" w:eastAsia="Arial" w:hAnsi="Arial"/>
                <w:sz w:val="11"/>
                <w:szCs w:val="11"/>
                <w:color w:val="auto"/>
              </w:rPr>
              <w:t>securities: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Agency</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362</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11"/>
              <w:spacing w:after="0"/>
              <w:rPr>
                <w:sz w:val="20"/>
                <w:szCs w:val="20"/>
                <w:color w:val="auto"/>
              </w:rPr>
            </w:pPr>
            <w:r>
              <w:rPr>
                <w:rFonts w:ascii="Arial" w:cs="Arial" w:eastAsia="Arial" w:hAnsi="Arial"/>
                <w:sz w:val="11"/>
                <w:szCs w:val="11"/>
                <w:color w:val="auto"/>
              </w:rPr>
              <w:t>1</w:t>
            </w:r>
          </w:p>
        </w:tc>
        <w:tc>
          <w:tcPr>
            <w:tcW w:w="3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356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6"/>
        </w:trPr>
        <w:tc>
          <w:tcPr>
            <w:tcW w:w="1340" w:type="dxa"/>
            <w:vAlign w:val="bottom"/>
            <w:tcBorders>
              <w:bottom w:val="single" w:sz="8" w:color="2C6937"/>
            </w:tcBorders>
          </w:tcPr>
          <w:p>
            <w:pPr>
              <w:ind w:left="60"/>
              <w:spacing w:after="0"/>
              <w:rPr>
                <w:sz w:val="20"/>
                <w:szCs w:val="20"/>
                <w:color w:val="auto"/>
              </w:rPr>
            </w:pPr>
            <w:r>
              <w:rPr>
                <w:rFonts w:ascii="Arial" w:cs="Arial" w:eastAsia="Arial" w:hAnsi="Arial"/>
                <w:sz w:val="11"/>
                <w:szCs w:val="11"/>
                <w:color w:val="auto"/>
              </w:rPr>
              <w:t>Other mortgage-related</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260</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36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rPr>
              <w:t>3</w:t>
            </w:r>
          </w:p>
        </w:tc>
        <w:tc>
          <w:tcPr>
            <w:tcW w:w="36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ind w:left="38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235</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tcPr>
          <w:p>
            <w:pPr>
              <w:jc w:val="right"/>
              <w:ind w:right="29"/>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7"/>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available-for-sale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7"/>
                <w:szCs w:val="7"/>
                <w:color w:val="auto"/>
              </w:rPr>
              <w:t>(6)(7)</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40" w:type="dxa"/>
            <w:vAlign w:val="bottom"/>
            <w:tcBorders>
              <w:bottom w:val="single" w:sz="8" w:color="2C6937"/>
            </w:tcBorders>
          </w:tcPr>
          <w:p>
            <w:pPr>
              <w:ind w:left="140"/>
              <w:spacing w:after="0"/>
              <w:rPr>
                <w:sz w:val="20"/>
                <w:szCs w:val="20"/>
                <w:color w:val="auto"/>
              </w:rPr>
            </w:pPr>
            <w:r>
              <w:rPr>
                <w:rFonts w:ascii="Arial" w:cs="Arial" w:eastAsia="Arial" w:hAnsi="Arial"/>
                <w:sz w:val="11"/>
                <w:szCs w:val="11"/>
                <w:color w:val="auto"/>
              </w:rPr>
              <w:t>securities</w:t>
            </w:r>
          </w:p>
        </w:tc>
        <w:tc>
          <w:tcPr>
            <w:tcW w:w="100" w:type="dxa"/>
            <w:vAlign w:val="bottom"/>
          </w:tcPr>
          <w:p>
            <w:pPr>
              <w:spacing w:after="0"/>
              <w:rPr>
                <w:sz w:val="14"/>
                <w:szCs w:val="14"/>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622</w:t>
            </w:r>
          </w:p>
        </w:tc>
        <w:tc>
          <w:tcPr>
            <w:tcW w:w="80" w:type="dxa"/>
            <w:vAlign w:val="bottom"/>
          </w:tcPr>
          <w:p>
            <w:pPr>
              <w:spacing w:after="0"/>
              <w:rPr>
                <w:sz w:val="14"/>
                <w:szCs w:val="14"/>
                <w:color w:val="auto"/>
              </w:rPr>
            </w:pPr>
          </w:p>
        </w:tc>
        <w:tc>
          <w:tcPr>
            <w:tcW w:w="200" w:type="dxa"/>
            <w:vAlign w:val="bottom"/>
            <w:tcBorders>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rPr>
              <w:t>4</w:t>
            </w:r>
          </w:p>
        </w:tc>
        <w:tc>
          <w:tcPr>
            <w:tcW w:w="36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2C6937"/>
            </w:tcBorders>
          </w:tcPr>
          <w:p>
            <w:pPr>
              <w:ind w:left="38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200" w:type="dxa"/>
            <w:vAlign w:val="bottom"/>
            <w:tcBorders>
              <w:bottom w:val="single" w:sz="8" w:color="2C6937"/>
            </w:tcBorders>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591</w:t>
            </w:r>
          </w:p>
        </w:tc>
        <w:tc>
          <w:tcPr>
            <w:tcW w:w="8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2C6937"/>
            </w:tcBorders>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2C6937"/>
            </w:tcBorders>
          </w:tcPr>
          <w:p>
            <w:pPr>
              <w:jc w:val="right"/>
              <w:ind w:right="29"/>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6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60" w:type="dxa"/>
            <w:vAlign w:val="bottom"/>
            <w:tcBorders>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6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Mortgage loans</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526</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46"/>
              <w:spacing w:after="0"/>
              <w:rPr>
                <w:sz w:val="20"/>
                <w:szCs w:val="20"/>
                <w:color w:val="auto"/>
              </w:rPr>
            </w:pPr>
            <w:r>
              <w:rPr>
                <w:rFonts w:ascii="Arial" w:cs="Arial" w:eastAsia="Arial" w:hAnsi="Arial"/>
                <w:sz w:val="22"/>
                <w:szCs w:val="22"/>
                <w:color w:val="auto"/>
                <w:vertAlign w:val="subscript"/>
              </w:rPr>
              <w:t>(4)</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24"/>
                <w:szCs w:val="24"/>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510</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ind w:left="600"/>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5"/>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Net derivatives</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jc w:val="right"/>
              <w:ind w:right="11"/>
              <w:spacing w:after="0"/>
              <w:rPr>
                <w:sz w:val="20"/>
                <w:szCs w:val="20"/>
                <w:color w:val="auto"/>
              </w:rPr>
            </w:pPr>
            <w:r>
              <w:rPr>
                <w:rFonts w:ascii="Arial" w:cs="Arial" w:eastAsia="Arial" w:hAnsi="Arial"/>
                <w:sz w:val="11"/>
                <w:szCs w:val="11"/>
                <w:color w:val="auto"/>
              </w:rPr>
              <w:t>38</w:t>
            </w:r>
          </w:p>
        </w:tc>
        <w:tc>
          <w:tcPr>
            <w:tcW w:w="360" w:type="dxa"/>
            <w:vAlign w:val="bottom"/>
          </w:tcPr>
          <w:p>
            <w:pPr>
              <w:ind w:left="20"/>
              <w:spacing w:after="0"/>
              <w:rPr>
                <w:sz w:val="20"/>
                <w:szCs w:val="20"/>
                <w:color w:val="auto"/>
              </w:rPr>
            </w:pPr>
            <w:r>
              <w:rPr>
                <w:rFonts w:ascii="Arial" w:cs="Arial" w:eastAsia="Arial" w:hAnsi="Arial"/>
                <w:sz w:val="7"/>
                <w:szCs w:val="7"/>
                <w:color w:val="auto"/>
              </w:rPr>
              <w:t>(5)</w:t>
            </w:r>
          </w:p>
        </w:tc>
        <w:tc>
          <w:tcPr>
            <w:tcW w:w="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4"/>
                <w:szCs w:val="24"/>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9"/>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Long-term debt:</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440" w:type="dxa"/>
            <w:vAlign w:val="bottom"/>
            <w:gridSpan w:val="2"/>
          </w:tcPr>
          <w:p>
            <w:pPr>
              <w:ind w:left="100"/>
              <w:spacing w:after="0"/>
              <w:rPr>
                <w:sz w:val="20"/>
                <w:szCs w:val="20"/>
                <w:color w:val="auto"/>
              </w:rPr>
            </w:pPr>
            <w:r>
              <w:rPr>
                <w:rFonts w:ascii="Arial" w:cs="Arial" w:eastAsia="Arial" w:hAnsi="Arial"/>
                <w:sz w:val="11"/>
                <w:szCs w:val="11"/>
                <w:color w:val="auto"/>
              </w:rPr>
              <w:t>Of Fannie Mae</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(250)</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226"/>
              <w:spacing w:after="0"/>
              <w:rPr>
                <w:sz w:val="20"/>
                <w:szCs w:val="20"/>
                <w:color w:val="auto"/>
              </w:rPr>
            </w:pPr>
            <w:r>
              <w:rPr>
                <w:rFonts w:ascii="Arial" w:cs="Arial" w:eastAsia="Arial" w:hAnsi="Arial"/>
                <w:sz w:val="11"/>
                <w:szCs w:val="11"/>
                <w:color w:val="auto"/>
              </w:rPr>
              <w:t xml:space="preserve">(6) </w:t>
            </w:r>
            <w:r>
              <w:rPr>
                <w:rFonts w:ascii="Arial" w:cs="Arial" w:eastAsia="Arial" w:hAnsi="Arial"/>
                <w:sz w:val="13"/>
                <w:szCs w:val="13"/>
                <w:color w:val="auto"/>
                <w:vertAlign w:val="superscript"/>
              </w:rPr>
              <w:t>(5)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(256)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ind w:left="600"/>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1340" w:type="dxa"/>
            <w:vAlign w:val="bottom"/>
            <w:tcBorders>
              <w:bottom w:val="single" w:sz="8" w:color="2C6937"/>
            </w:tcBorders>
          </w:tcPr>
          <w:p>
            <w:pPr>
              <w:ind w:left="100"/>
              <w:spacing w:after="0"/>
              <w:rPr>
                <w:sz w:val="20"/>
                <w:szCs w:val="20"/>
                <w:color w:val="auto"/>
              </w:rPr>
            </w:pPr>
            <w:r>
              <w:rPr>
                <w:rFonts w:ascii="Arial" w:cs="Arial" w:eastAsia="Arial" w:hAnsi="Arial"/>
                <w:sz w:val="11"/>
                <w:szCs w:val="11"/>
                <w:color w:val="auto"/>
              </w:rPr>
              <w:t>Of consolidated trusts</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(133)</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36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rPr>
              <w:t>2</w:t>
            </w:r>
          </w:p>
        </w:tc>
        <w:tc>
          <w:tcPr>
            <w:tcW w:w="360" w:type="dxa"/>
            <w:vAlign w:val="bottom"/>
          </w:tcPr>
          <w:p>
            <w:pPr>
              <w:ind w:left="20"/>
              <w:spacing w:after="0"/>
              <w:rPr>
                <w:sz w:val="20"/>
                <w:szCs w:val="20"/>
                <w:color w:val="auto"/>
              </w:rPr>
            </w:pPr>
            <w:r>
              <w:rPr>
                <w:rFonts w:ascii="Arial" w:cs="Arial" w:eastAsia="Arial" w:hAnsi="Arial"/>
                <w:sz w:val="7"/>
                <w:szCs w:val="7"/>
                <w:color w:val="auto"/>
              </w:rPr>
              <w:t>(5)(6)</w:t>
            </w: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7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ind w:lef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(125)</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3"/>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long-term debt</w:t>
            </w: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(383)</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(4)</w:t>
            </w:r>
          </w:p>
        </w:tc>
        <w:tc>
          <w:tcPr>
            <w:tcW w:w="3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(381)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ind w:left="600"/>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
        </w:trPr>
        <w:tc>
          <w:tcPr>
            <w:tcW w:w="13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2C6937"/>
              <w:bottom w:val="single" w:sz="8" w:color="2C6937"/>
            </w:tcBorders>
          </w:tcPr>
          <w:p>
            <w:pPr>
              <w:spacing w:after="0"/>
              <w:rPr>
                <w:sz w:val="2"/>
                <w:szCs w:val="2"/>
                <w:color w:val="auto"/>
              </w:rPr>
            </w:pPr>
          </w:p>
        </w:tc>
        <w:tc>
          <w:tcPr>
            <w:tcW w:w="6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360" w:type="dxa"/>
            <w:vAlign w:val="bottom"/>
            <w:tcBorders>
              <w:top w:val="single" w:sz="8" w:color="2C6937"/>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6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8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7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52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6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6937"/>
              <w:bottom w:val="single" w:sz="8" w:color="2C6937"/>
            </w:tcBorders>
          </w:tcPr>
          <w:p>
            <w:pPr>
              <w:spacing w:after="0"/>
              <w:rPr>
                <w:sz w:val="2"/>
                <w:szCs w:val="2"/>
                <w:color w:val="auto"/>
              </w:rPr>
            </w:pPr>
          </w:p>
        </w:tc>
        <w:tc>
          <w:tcPr>
            <w:tcW w:w="82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540385</wp:posOffset>
            </wp:positionV>
            <wp:extent cx="680593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151765</wp:posOffset>
            </wp:positionV>
            <wp:extent cx="7164070" cy="419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248" w:right="339" w:bottom="1440" w:gutter="0" w:footer="0" w:header="0"/>
        </w:sectPr>
      </w:pPr>
    </w:p>
    <w:bookmarkStart w:id="108" w:name="page109"/>
    <w:bookmarkEnd w:id="108"/>
    <w:p>
      <w:pPr>
        <w:ind w:left="6977"/>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17145</wp:posOffset>
            </wp:positionV>
            <wp:extent cx="70154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45"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For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925195</wp:posOffset>
            </wp:positionH>
            <wp:positionV relativeFrom="paragraph">
              <wp:posOffset>18415</wp:posOffset>
            </wp:positionV>
            <wp:extent cx="620522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20522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17" w:type="dxa"/>
        <w:tblCellMar>
          <w:top w:w="0" w:type="dxa"/>
          <w:left w:w="0" w:type="dxa"/>
          <w:bottom w:w="0" w:type="dxa"/>
          <w:right w:w="0" w:type="dxa"/>
        </w:tblCellMar>
      </w:tblP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Net Unrealized</w:t>
            </w: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5"/>
          </w:tcPr>
          <w:p>
            <w:pPr>
              <w:ind w:left="120"/>
              <w:spacing w:after="0"/>
              <w:rPr>
                <w:sz w:val="20"/>
                <w:szCs w:val="20"/>
                <w:color w:val="auto"/>
              </w:rPr>
            </w:pPr>
            <w:r>
              <w:rPr>
                <w:rFonts w:ascii="Arial" w:cs="Arial" w:eastAsia="Arial" w:hAnsi="Arial"/>
                <w:sz w:val="9"/>
                <w:szCs w:val="9"/>
                <w:b w:val="1"/>
                <w:bCs w:val="1"/>
                <w:color w:val="auto"/>
              </w:rPr>
              <w:t>Total Gains (Losses)</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6"/>
              </w:rPr>
              <w:t>Gains (Losses)</w:t>
            </w:r>
          </w:p>
        </w:tc>
        <w:tc>
          <w:tcPr>
            <w:tcW w:w="60" w:type="dxa"/>
            <w:vAlign w:val="bottom"/>
          </w:tcPr>
          <w:p>
            <w:pPr>
              <w:spacing w:after="0"/>
              <w:rPr>
                <w:sz w:val="9"/>
                <w:szCs w:val="9"/>
                <w:color w:val="auto"/>
              </w:rPr>
            </w:pPr>
          </w:p>
        </w:tc>
        <w:tc>
          <w:tcPr>
            <w:tcW w:w="820" w:type="dxa"/>
            <w:vAlign w:val="bottom"/>
          </w:tcPr>
          <w:p>
            <w:pPr>
              <w:jc w:val="center"/>
              <w:ind w:right="49"/>
              <w:spacing w:after="0"/>
              <w:rPr>
                <w:sz w:val="20"/>
                <w:szCs w:val="20"/>
                <w:color w:val="auto"/>
              </w:rPr>
            </w:pPr>
            <w:r>
              <w:rPr>
                <w:rFonts w:ascii="Arial" w:cs="Arial" w:eastAsia="Arial" w:hAnsi="Arial"/>
                <w:sz w:val="9"/>
                <w:szCs w:val="9"/>
                <w:b w:val="1"/>
                <w:bCs w:val="1"/>
                <w:color w:val="auto"/>
                <w:w w:val="95"/>
              </w:rPr>
              <w:t>Net Unrealized</w:t>
            </w:r>
          </w:p>
        </w:tc>
        <w:tc>
          <w:tcPr>
            <w:tcW w:w="0" w:type="dxa"/>
            <w:vAlign w:val="bottom"/>
          </w:tcPr>
          <w:p>
            <w:pPr>
              <w:spacing w:after="0"/>
              <w:rPr>
                <w:sz w:val="1"/>
                <w:szCs w:val="1"/>
                <w:color w:val="auto"/>
              </w:rPr>
            </w:pPr>
          </w:p>
        </w:tc>
      </w:tr>
      <w:tr>
        <w:trPr>
          <w:trHeight w:val="95"/>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gridSpan w:val="5"/>
          </w:tcPr>
          <w:p>
            <w:pPr>
              <w:ind w:left="100"/>
              <w:spacing w:after="0" w:line="95" w:lineRule="exact"/>
              <w:rPr>
                <w:sz w:val="20"/>
                <w:szCs w:val="20"/>
                <w:color w:val="auto"/>
              </w:rPr>
            </w:pPr>
            <w:r>
              <w:rPr>
                <w:rFonts w:ascii="Arial" w:cs="Arial" w:eastAsia="Arial" w:hAnsi="Arial"/>
                <w:sz w:val="9"/>
                <w:szCs w:val="9"/>
                <w:b w:val="1"/>
                <w:bCs w:val="1"/>
                <w:color w:val="auto"/>
              </w:rPr>
              <w:t>(Realized/Unrealized)</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6"/>
              </w:rPr>
              <w:t>Included in Net</w:t>
            </w:r>
          </w:p>
        </w:tc>
        <w:tc>
          <w:tcPr>
            <w:tcW w:w="60" w:type="dxa"/>
            <w:vAlign w:val="bottom"/>
          </w:tcPr>
          <w:p>
            <w:pPr>
              <w:spacing w:after="0"/>
              <w:rPr>
                <w:sz w:val="8"/>
                <w:szCs w:val="8"/>
                <w:color w:val="auto"/>
              </w:rPr>
            </w:pPr>
          </w:p>
        </w:tc>
        <w:tc>
          <w:tcPr>
            <w:tcW w:w="820" w:type="dxa"/>
            <w:vAlign w:val="bottom"/>
          </w:tcPr>
          <w:p>
            <w:pPr>
              <w:jc w:val="center"/>
              <w:ind w:right="29"/>
              <w:spacing w:after="0" w:line="95" w:lineRule="exact"/>
              <w:rPr>
                <w:sz w:val="20"/>
                <w:szCs w:val="20"/>
                <w:color w:val="auto"/>
              </w:rPr>
            </w:pPr>
            <w:r>
              <w:rPr>
                <w:rFonts w:ascii="Arial" w:cs="Arial" w:eastAsia="Arial" w:hAnsi="Arial"/>
                <w:sz w:val="9"/>
                <w:szCs w:val="9"/>
                <w:b w:val="1"/>
                <w:bCs w:val="1"/>
                <w:color w:val="auto"/>
                <w:w w:val="96"/>
              </w:rPr>
              <w:t>Gains (Losses)</w:t>
            </w:r>
          </w:p>
        </w:tc>
        <w:tc>
          <w:tcPr>
            <w:tcW w:w="0" w:type="dxa"/>
            <w:vAlign w:val="bottom"/>
          </w:tcPr>
          <w:p>
            <w:pPr>
              <w:spacing w:after="0"/>
              <w:rPr>
                <w:sz w:val="1"/>
                <w:szCs w:val="1"/>
                <w:color w:val="auto"/>
              </w:rPr>
            </w:pPr>
          </w:p>
        </w:tc>
      </w:tr>
      <w:tr>
        <w:trPr>
          <w:trHeight w:val="47"/>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80" w:type="dxa"/>
            <w:vAlign w:val="bottom"/>
            <w:tcBorders>
              <w:bottom w:val="single" w:sz="8" w:color="2C6937"/>
            </w:tcBorders>
          </w:tcPr>
          <w:p>
            <w:pPr>
              <w:spacing w:after="0"/>
              <w:rPr>
                <w:sz w:val="4"/>
                <w:szCs w:val="4"/>
                <w:color w:val="auto"/>
              </w:rPr>
            </w:pPr>
          </w:p>
        </w:tc>
        <w:tc>
          <w:tcPr>
            <w:tcW w:w="480" w:type="dxa"/>
            <w:vAlign w:val="bottom"/>
            <w:tcBorders>
              <w:bottom w:val="single" w:sz="8" w:color="2C6937"/>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9"/>
                <w:szCs w:val="9"/>
                <w:b w:val="1"/>
                <w:bCs w:val="1"/>
                <w:color w:val="auto"/>
                <w:w w:val="95"/>
              </w:rPr>
              <w:t>Income Related to</w:t>
            </w:r>
          </w:p>
        </w:tc>
        <w:tc>
          <w:tcPr>
            <w:tcW w:w="60" w:type="dxa"/>
            <w:vAlign w:val="bottom"/>
          </w:tcPr>
          <w:p>
            <w:pPr>
              <w:spacing w:after="0"/>
              <w:rPr>
                <w:sz w:val="4"/>
                <w:szCs w:val="4"/>
                <w:color w:val="auto"/>
              </w:rPr>
            </w:pPr>
          </w:p>
        </w:tc>
        <w:tc>
          <w:tcPr>
            <w:tcW w:w="820" w:type="dxa"/>
            <w:vAlign w:val="bottom"/>
            <w:vMerge w:val="restart"/>
          </w:tcPr>
          <w:p>
            <w:pPr>
              <w:jc w:val="center"/>
              <w:ind w:right="29"/>
              <w:spacing w:after="0"/>
              <w:rPr>
                <w:sz w:val="20"/>
                <w:szCs w:val="20"/>
                <w:color w:val="auto"/>
              </w:rPr>
            </w:pPr>
            <w:r>
              <w:rPr>
                <w:rFonts w:ascii="Arial" w:cs="Arial" w:eastAsia="Arial" w:hAnsi="Arial"/>
                <w:sz w:val="9"/>
                <w:szCs w:val="9"/>
                <w:b w:val="1"/>
                <w:bCs w:val="1"/>
                <w:color w:val="auto"/>
                <w:w w:val="93"/>
              </w:rPr>
              <w:t>Included in OCI</w:t>
            </w:r>
          </w:p>
        </w:tc>
        <w:tc>
          <w:tcPr>
            <w:tcW w:w="0" w:type="dxa"/>
            <w:vAlign w:val="bottom"/>
          </w:tcPr>
          <w:p>
            <w:pPr>
              <w:spacing w:after="0"/>
              <w:rPr>
                <w:sz w:val="1"/>
                <w:szCs w:val="1"/>
                <w:color w:val="auto"/>
              </w:rPr>
            </w:pPr>
          </w:p>
        </w:tc>
      </w:tr>
      <w:tr>
        <w:trPr>
          <w:trHeight w:val="36"/>
        </w:trPr>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Assets and</w:t>
            </w:r>
          </w:p>
        </w:tc>
        <w:tc>
          <w:tcPr>
            <w:tcW w:w="60" w:type="dxa"/>
            <w:vAlign w:val="bottom"/>
          </w:tcPr>
          <w:p>
            <w:pPr>
              <w:spacing w:after="0"/>
              <w:rPr>
                <w:sz w:val="8"/>
                <w:szCs w:val="8"/>
                <w:color w:val="auto"/>
              </w:rPr>
            </w:pPr>
          </w:p>
        </w:tc>
        <w:tc>
          <w:tcPr>
            <w:tcW w:w="820" w:type="dxa"/>
            <w:vAlign w:val="bottom"/>
          </w:tcPr>
          <w:p>
            <w:pPr>
              <w:jc w:val="center"/>
              <w:ind w:right="49"/>
              <w:spacing w:after="0"/>
              <w:rPr>
                <w:sz w:val="20"/>
                <w:szCs w:val="20"/>
                <w:color w:val="auto"/>
              </w:rPr>
            </w:pPr>
            <w:r>
              <w:rPr>
                <w:rFonts w:ascii="Arial" w:cs="Arial" w:eastAsia="Arial" w:hAnsi="Arial"/>
                <w:sz w:val="9"/>
                <w:szCs w:val="9"/>
                <w:b w:val="1"/>
                <w:bCs w:val="1"/>
                <w:color w:val="auto"/>
                <w:w w:val="95"/>
              </w:rPr>
              <w:t>Related to Assets</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6"/>
              </w:rPr>
              <w:t>Included in</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4"/>
              </w:rPr>
              <w:t>Liabilities Still Held</w:t>
            </w: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3"/>
              </w:rPr>
              <w:t>and Liabilities Still</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Balance,</w:t>
            </w:r>
          </w:p>
        </w:tc>
        <w:tc>
          <w:tcPr>
            <w:tcW w:w="560" w:type="dxa"/>
            <w:vAlign w:val="bottom"/>
            <w:gridSpan w:val="2"/>
          </w:tcPr>
          <w:p>
            <w:pPr>
              <w:jc w:val="right"/>
              <w:ind w:right="9"/>
              <w:spacing w:after="0"/>
              <w:rPr>
                <w:sz w:val="20"/>
                <w:szCs w:val="20"/>
                <w:color w:val="auto"/>
              </w:rPr>
            </w:pPr>
            <w:r>
              <w:rPr>
                <w:rFonts w:ascii="Arial" w:cs="Arial" w:eastAsia="Arial" w:hAnsi="Arial"/>
                <w:sz w:val="9"/>
                <w:szCs w:val="9"/>
                <w:b w:val="1"/>
                <w:bCs w:val="1"/>
                <w:color w:val="auto"/>
              </w:rPr>
              <w:t>Included in</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4"/>
              </w:rPr>
              <w:t>Total OCI</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3"/>
          </w:tcPr>
          <w:p>
            <w:pPr>
              <w:ind w:left="40"/>
              <w:spacing w:after="0"/>
              <w:rPr>
                <w:sz w:val="20"/>
                <w:szCs w:val="20"/>
                <w:color w:val="auto"/>
              </w:rPr>
            </w:pPr>
            <w:r>
              <w:rPr>
                <w:rFonts w:ascii="Arial" w:cs="Arial" w:eastAsia="Arial" w:hAnsi="Arial"/>
                <w:sz w:val="9"/>
                <w:szCs w:val="9"/>
                <w:b w:val="1"/>
                <w:bCs w:val="1"/>
                <w:color w:val="auto"/>
              </w:rPr>
              <w:t>Transfers out</w:t>
            </w:r>
          </w:p>
        </w:tc>
        <w:tc>
          <w:tcPr>
            <w:tcW w:w="720" w:type="dxa"/>
            <w:vAlign w:val="bottom"/>
            <w:gridSpan w:val="3"/>
          </w:tcPr>
          <w:p>
            <w:pPr>
              <w:ind w:left="20"/>
              <w:spacing w:after="0"/>
              <w:rPr>
                <w:sz w:val="20"/>
                <w:szCs w:val="20"/>
                <w:color w:val="auto"/>
              </w:rPr>
            </w:pPr>
            <w:r>
              <w:rPr>
                <w:rFonts w:ascii="Arial" w:cs="Arial" w:eastAsia="Arial" w:hAnsi="Arial"/>
                <w:sz w:val="9"/>
                <w:szCs w:val="9"/>
                <w:b w:val="1"/>
                <w:bCs w:val="1"/>
                <w:color w:val="auto"/>
              </w:rPr>
              <w:t>Transfers into</w:t>
            </w:r>
          </w:p>
        </w:tc>
        <w:tc>
          <w:tcPr>
            <w:tcW w:w="920" w:type="dxa"/>
            <w:vAlign w:val="bottom"/>
            <w:gridSpan w:val="3"/>
          </w:tcPr>
          <w:p>
            <w:pPr>
              <w:ind w:left="60"/>
              <w:spacing w:after="0"/>
              <w:rPr>
                <w:sz w:val="20"/>
                <w:szCs w:val="20"/>
                <w:color w:val="auto"/>
              </w:rPr>
            </w:pPr>
            <w:r>
              <w:rPr>
                <w:rFonts w:ascii="Arial" w:cs="Arial" w:eastAsia="Arial" w:hAnsi="Arial"/>
                <w:sz w:val="9"/>
                <w:szCs w:val="9"/>
                <w:b w:val="1"/>
                <w:bCs w:val="1"/>
                <w:color w:val="auto"/>
              </w:rPr>
              <w:t>Balance, June 30,</w:t>
            </w:r>
          </w:p>
        </w:tc>
        <w:tc>
          <w:tcPr>
            <w:tcW w:w="100" w:type="dxa"/>
            <w:vAlign w:val="bottom"/>
          </w:tcPr>
          <w:p>
            <w:pPr>
              <w:spacing w:after="0"/>
              <w:rPr>
                <w:sz w:val="8"/>
                <w:szCs w:val="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7"/>
              </w:rPr>
              <w:t>as of June 30,</w:t>
            </w: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5"/>
              </w:rPr>
              <w:t>Held as of June 30,</w:t>
            </w: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2C6937"/>
            </w:tcBorders>
            <w:gridSpan w:val="3"/>
          </w:tcPr>
          <w:p>
            <w:pPr>
              <w:ind w:left="20"/>
              <w:spacing w:after="0"/>
              <w:rPr>
                <w:sz w:val="20"/>
                <w:szCs w:val="20"/>
                <w:color w:val="auto"/>
              </w:rPr>
            </w:pPr>
            <w:r>
              <w:rPr>
                <w:rFonts w:ascii="Arial" w:cs="Arial" w:eastAsia="Arial" w:hAnsi="Arial"/>
                <w:sz w:val="9"/>
                <w:szCs w:val="9"/>
                <w:b w:val="1"/>
                <w:bCs w:val="1"/>
                <w:color w:val="auto"/>
              </w:rPr>
              <w:t>December 31, 2022</w:t>
            </w:r>
          </w:p>
        </w:tc>
        <w:tc>
          <w:tcPr>
            <w:tcW w:w="560" w:type="dxa"/>
            <w:vAlign w:val="bottom"/>
            <w:tcBorders>
              <w:bottom w:val="single" w:sz="8" w:color="2C6937"/>
            </w:tcBorders>
            <w:gridSpan w:val="2"/>
          </w:tcPr>
          <w:p>
            <w:pPr>
              <w:jc w:val="right"/>
              <w:spacing w:after="0"/>
              <w:rPr>
                <w:sz w:val="20"/>
                <w:szCs w:val="20"/>
                <w:color w:val="auto"/>
              </w:rPr>
            </w:pPr>
            <w:r>
              <w:rPr>
                <w:rFonts w:ascii="Arial" w:cs="Arial" w:eastAsia="Arial" w:hAnsi="Arial"/>
                <w:sz w:val="9"/>
                <w:szCs w:val="9"/>
                <w:b w:val="1"/>
                <w:bCs w:val="1"/>
                <w:color w:val="auto"/>
              </w:rPr>
              <w:t>Net Income</w:t>
            </w:r>
          </w:p>
        </w:tc>
        <w:tc>
          <w:tcPr>
            <w:tcW w:w="360" w:type="dxa"/>
            <w:vAlign w:val="bottom"/>
            <w:tcBorders>
              <w:bottom w:val="single" w:sz="8" w:color="2C6937"/>
            </w:tcBorders>
          </w:tcPr>
          <w:p>
            <w:pPr>
              <w:spacing w:after="0"/>
              <w:rPr>
                <w:sz w:val="11"/>
                <w:szCs w:val="11"/>
                <w:color w:val="auto"/>
              </w:rPr>
            </w:pPr>
          </w:p>
        </w:tc>
        <w:tc>
          <w:tcPr>
            <w:tcW w:w="80" w:type="dxa"/>
            <w:vAlign w:val="bottom"/>
            <w:tcBorders>
              <w:bottom w:val="single" w:sz="8" w:color="2C6937"/>
            </w:tcBorders>
          </w:tcPr>
          <w:p>
            <w:pPr>
              <w:spacing w:after="0"/>
              <w:rPr>
                <w:sz w:val="11"/>
                <w:szCs w:val="11"/>
                <w:color w:val="auto"/>
              </w:rPr>
            </w:pPr>
          </w:p>
        </w:tc>
        <w:tc>
          <w:tcPr>
            <w:tcW w:w="58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9"/>
                <w:szCs w:val="9"/>
                <w:b w:val="1"/>
                <w:bCs w:val="1"/>
                <w:color w:val="auto"/>
                <w:w w:val="88"/>
              </w:rPr>
              <w:t>(Loss)</w:t>
            </w:r>
            <w:r>
              <w:rPr>
                <w:rFonts w:ascii="Arial" w:cs="Arial" w:eastAsia="Arial" w:hAnsi="Arial"/>
                <w:sz w:val="11"/>
                <w:szCs w:val="11"/>
                <w:b w:val="1"/>
                <w:bCs w:val="1"/>
                <w:color w:val="auto"/>
                <w:w w:val="88"/>
                <w:vertAlign w:val="superscript"/>
              </w:rPr>
              <w:t>(1)</w:t>
            </w:r>
          </w:p>
        </w:tc>
        <w:tc>
          <w:tcPr>
            <w:tcW w:w="100" w:type="dxa"/>
            <w:vAlign w:val="bottom"/>
            <w:tcBorders>
              <w:bottom w:val="single" w:sz="8" w:color="2C6937"/>
            </w:tcBorders>
          </w:tcPr>
          <w:p>
            <w:pPr>
              <w:spacing w:after="0"/>
              <w:rPr>
                <w:sz w:val="11"/>
                <w:szCs w:val="11"/>
                <w:color w:val="auto"/>
              </w:rPr>
            </w:pPr>
          </w:p>
        </w:tc>
        <w:tc>
          <w:tcPr>
            <w:tcW w:w="78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Purchases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1"/>
                <w:szCs w:val="11"/>
                <w:color w:val="auto"/>
              </w:rPr>
            </w:pPr>
          </w:p>
        </w:tc>
        <w:tc>
          <w:tcPr>
            <w:tcW w:w="54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Sales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1"/>
                <w:szCs w:val="11"/>
                <w:color w:val="auto"/>
              </w:rPr>
            </w:pPr>
          </w:p>
        </w:tc>
        <w:tc>
          <w:tcPr>
            <w:tcW w:w="56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Issues</w:t>
            </w:r>
            <w:r>
              <w:rPr>
                <w:rFonts w:ascii="Arial" w:cs="Arial" w:eastAsia="Arial" w:hAnsi="Arial"/>
                <w:sz w:val="11"/>
                <w:szCs w:val="11"/>
                <w:b w:val="1"/>
                <w:bCs w:val="1"/>
                <w:color w:val="auto"/>
                <w:vertAlign w:val="superscript"/>
              </w:rPr>
              <w:t>(3)</w:t>
            </w:r>
          </w:p>
        </w:tc>
        <w:tc>
          <w:tcPr>
            <w:tcW w:w="120" w:type="dxa"/>
            <w:vAlign w:val="bottom"/>
            <w:tcBorders>
              <w:bottom w:val="single" w:sz="8" w:color="2C6937"/>
            </w:tcBorders>
          </w:tcPr>
          <w:p>
            <w:pPr>
              <w:spacing w:after="0"/>
              <w:rPr>
                <w:sz w:val="11"/>
                <w:szCs w:val="11"/>
                <w:color w:val="auto"/>
              </w:rPr>
            </w:pPr>
          </w:p>
        </w:tc>
        <w:tc>
          <w:tcPr>
            <w:tcW w:w="82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Settlements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1"/>
                <w:szCs w:val="11"/>
                <w:color w:val="auto"/>
              </w:rPr>
            </w:pPr>
          </w:p>
        </w:tc>
        <w:tc>
          <w:tcPr>
            <w:tcW w:w="64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of Level 3</w:t>
            </w:r>
          </w:p>
        </w:tc>
        <w:tc>
          <w:tcPr>
            <w:tcW w:w="120" w:type="dxa"/>
            <w:vAlign w:val="bottom"/>
            <w:tcBorders>
              <w:bottom w:val="single" w:sz="8" w:color="2C6937"/>
            </w:tcBorders>
          </w:tcPr>
          <w:p>
            <w:pPr>
              <w:spacing w:after="0"/>
              <w:rPr>
                <w:sz w:val="11"/>
                <w:szCs w:val="11"/>
                <w:color w:val="auto"/>
              </w:rPr>
            </w:pPr>
          </w:p>
        </w:tc>
        <w:tc>
          <w:tcPr>
            <w:tcW w:w="60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Level 3</w:t>
            </w:r>
          </w:p>
        </w:tc>
        <w:tc>
          <w:tcPr>
            <w:tcW w:w="200" w:type="dxa"/>
            <w:vAlign w:val="bottom"/>
            <w:tcBorders>
              <w:bottom w:val="single" w:sz="8" w:color="2C6937"/>
            </w:tcBorders>
          </w:tcPr>
          <w:p>
            <w:pPr>
              <w:spacing w:after="0"/>
              <w:rPr>
                <w:sz w:val="11"/>
                <w:szCs w:val="11"/>
                <w:color w:val="auto"/>
              </w:rPr>
            </w:pPr>
          </w:p>
        </w:tc>
        <w:tc>
          <w:tcPr>
            <w:tcW w:w="640" w:type="dxa"/>
            <w:vAlign w:val="bottom"/>
            <w:tcBorders>
              <w:bottom w:val="single" w:sz="8" w:color="2C6937"/>
            </w:tcBorders>
          </w:tcPr>
          <w:p>
            <w:pPr>
              <w:jc w:val="right"/>
              <w:ind w:right="285"/>
              <w:spacing w:after="0"/>
              <w:rPr>
                <w:sz w:val="20"/>
                <w:szCs w:val="20"/>
                <w:color w:val="auto"/>
              </w:rPr>
            </w:pPr>
            <w:r>
              <w:rPr>
                <w:rFonts w:ascii="Arial" w:cs="Arial" w:eastAsia="Arial" w:hAnsi="Arial"/>
                <w:sz w:val="9"/>
                <w:szCs w:val="9"/>
                <w:b w:val="1"/>
                <w:bCs w:val="1"/>
                <w:color w:val="auto"/>
              </w:rPr>
              <w:t>2023</w:t>
            </w:r>
          </w:p>
        </w:tc>
        <w:tc>
          <w:tcPr>
            <w:tcW w:w="80" w:type="dxa"/>
            <w:vAlign w:val="bottom"/>
            <w:tcBorders>
              <w:bottom w:val="single" w:sz="8" w:color="2C6937"/>
            </w:tcBorders>
          </w:tcPr>
          <w:p>
            <w:pPr>
              <w:spacing w:after="0"/>
              <w:rPr>
                <w:sz w:val="11"/>
                <w:szCs w:val="11"/>
                <w:color w:val="auto"/>
              </w:rPr>
            </w:pPr>
          </w:p>
        </w:tc>
        <w:tc>
          <w:tcPr>
            <w:tcW w:w="100" w:type="dxa"/>
            <w:vAlign w:val="bottom"/>
            <w:tcBorders>
              <w:bottom w:val="single" w:sz="8" w:color="2C6937"/>
            </w:tcBorders>
          </w:tcPr>
          <w:p>
            <w:pPr>
              <w:spacing w:after="0"/>
              <w:rPr>
                <w:sz w:val="11"/>
                <w:szCs w:val="11"/>
                <w:color w:val="auto"/>
              </w:rPr>
            </w:pPr>
          </w:p>
        </w:tc>
        <w:tc>
          <w:tcPr>
            <w:tcW w:w="760" w:type="dxa"/>
            <w:vAlign w:val="bottom"/>
            <w:tcBorders>
              <w:bottom w:val="single" w:sz="8" w:color="2C6937"/>
            </w:tcBorders>
          </w:tcPr>
          <w:p>
            <w:pPr>
              <w:jc w:val="center"/>
              <w:ind w:right="50"/>
              <w:spacing w:after="0" w:line="138" w:lineRule="exact"/>
              <w:rPr>
                <w:sz w:val="20"/>
                <w:szCs w:val="20"/>
                <w:color w:val="auto"/>
              </w:rPr>
            </w:pPr>
            <w:r>
              <w:rPr>
                <w:rFonts w:ascii="Arial" w:cs="Arial" w:eastAsia="Arial" w:hAnsi="Arial"/>
                <w:sz w:val="15"/>
                <w:szCs w:val="15"/>
                <w:b w:val="1"/>
                <w:bCs w:val="1"/>
                <w:color w:val="auto"/>
                <w:w w:val="98"/>
                <w:vertAlign w:val="subscript"/>
              </w:rPr>
              <w:t>2023</w:t>
            </w:r>
            <w:r>
              <w:rPr>
                <w:rFonts w:ascii="Arial" w:cs="Arial" w:eastAsia="Arial" w:hAnsi="Arial"/>
                <w:sz w:val="5"/>
                <w:szCs w:val="5"/>
                <w:b w:val="1"/>
                <w:bCs w:val="1"/>
                <w:color w:val="auto"/>
                <w:w w:val="98"/>
              </w:rPr>
              <w:t>(4)(5)</w:t>
            </w:r>
          </w:p>
        </w:tc>
        <w:tc>
          <w:tcPr>
            <w:tcW w:w="100" w:type="dxa"/>
            <w:vAlign w:val="bottom"/>
            <w:tcBorders>
              <w:bottom w:val="single" w:sz="8" w:color="2C6937"/>
            </w:tcBorders>
          </w:tcPr>
          <w:p>
            <w:pPr>
              <w:spacing w:after="0"/>
              <w:rPr>
                <w:sz w:val="11"/>
                <w:szCs w:val="11"/>
                <w:color w:val="auto"/>
              </w:rPr>
            </w:pPr>
          </w:p>
        </w:tc>
        <w:tc>
          <w:tcPr>
            <w:tcW w:w="60" w:type="dxa"/>
            <w:vAlign w:val="bottom"/>
            <w:tcBorders>
              <w:bottom w:val="single" w:sz="8" w:color="2C6937"/>
            </w:tcBorders>
          </w:tcPr>
          <w:p>
            <w:pPr>
              <w:spacing w:after="0"/>
              <w:rPr>
                <w:sz w:val="11"/>
                <w:szCs w:val="11"/>
                <w:color w:val="auto"/>
              </w:rPr>
            </w:pPr>
          </w:p>
        </w:tc>
        <w:tc>
          <w:tcPr>
            <w:tcW w:w="820" w:type="dxa"/>
            <w:vAlign w:val="bottom"/>
            <w:tcBorders>
              <w:bottom w:val="single" w:sz="8" w:color="2C6937"/>
            </w:tcBorders>
          </w:tcPr>
          <w:p>
            <w:pPr>
              <w:jc w:val="center"/>
              <w:ind w:right="29"/>
              <w:spacing w:after="0"/>
              <w:rPr>
                <w:sz w:val="20"/>
                <w:szCs w:val="20"/>
                <w:color w:val="auto"/>
              </w:rPr>
            </w:pPr>
            <w:r>
              <w:rPr>
                <w:rFonts w:ascii="Arial" w:cs="Arial" w:eastAsia="Arial" w:hAnsi="Arial"/>
                <w:sz w:val="9"/>
                <w:szCs w:val="9"/>
                <w:b w:val="1"/>
                <w:bCs w:val="1"/>
                <w:color w:val="auto"/>
                <w:w w:val="89"/>
              </w:rPr>
              <w:t>2023</w:t>
            </w:r>
            <w:r>
              <w:rPr>
                <w:rFonts w:ascii="Arial" w:cs="Arial" w:eastAsia="Arial" w:hAnsi="Arial"/>
                <w:sz w:val="11"/>
                <w:szCs w:val="11"/>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300"/>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Trading securities:</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Mortgage-related</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46"/>
              <w:spacing w:after="0"/>
              <w:rPr>
                <w:sz w:val="20"/>
                <w:szCs w:val="20"/>
                <w:color w:val="auto"/>
              </w:rPr>
            </w:pPr>
            <w:r>
              <w:rPr>
                <w:rFonts w:ascii="Arial" w:cs="Arial" w:eastAsia="Arial" w:hAnsi="Arial"/>
                <w:sz w:val="22"/>
                <w:szCs w:val="22"/>
                <w:color w:val="auto"/>
                <w:vertAlign w:val="subscript"/>
              </w:rPr>
              <w:t>(8)</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6"/>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Available-for-sale</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440" w:type="dxa"/>
            <w:vAlign w:val="bottom"/>
            <w:gridSpan w:val="2"/>
          </w:tcPr>
          <w:p>
            <w:pPr>
              <w:ind w:left="140"/>
              <w:spacing w:after="0"/>
              <w:rPr>
                <w:sz w:val="20"/>
                <w:szCs w:val="20"/>
                <w:color w:val="auto"/>
              </w:rPr>
            </w:pPr>
            <w:r>
              <w:rPr>
                <w:rFonts w:ascii="Arial" w:cs="Arial" w:eastAsia="Arial" w:hAnsi="Arial"/>
                <w:sz w:val="11"/>
                <w:szCs w:val="11"/>
                <w:color w:val="auto"/>
              </w:rPr>
              <w:t>securities: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Agency</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371</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9"/>
              <w:spacing w:after="0"/>
              <w:rPr>
                <w:sz w:val="20"/>
                <w:szCs w:val="20"/>
                <w:color w:val="auto"/>
              </w:rPr>
            </w:pPr>
            <w:r>
              <w:rPr>
                <w:rFonts w:ascii="Arial" w:cs="Arial" w:eastAsia="Arial" w:hAnsi="Arial"/>
                <w:sz w:val="11"/>
                <w:szCs w:val="11"/>
                <w:color w:val="auto"/>
              </w:rPr>
              <w:t>1</w:t>
            </w:r>
          </w:p>
        </w:tc>
        <w:tc>
          <w:tcPr>
            <w:tcW w:w="3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356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6"/>
        </w:trPr>
        <w:tc>
          <w:tcPr>
            <w:tcW w:w="1340" w:type="dxa"/>
            <w:vAlign w:val="bottom"/>
            <w:tcBorders>
              <w:bottom w:val="single" w:sz="8" w:color="2C6937"/>
            </w:tcBorders>
          </w:tcPr>
          <w:p>
            <w:pPr>
              <w:ind w:left="60"/>
              <w:spacing w:after="0"/>
              <w:rPr>
                <w:sz w:val="20"/>
                <w:szCs w:val="20"/>
                <w:color w:val="auto"/>
              </w:rPr>
            </w:pPr>
            <w:r>
              <w:rPr>
                <w:rFonts w:ascii="Arial" w:cs="Arial" w:eastAsia="Arial" w:hAnsi="Arial"/>
                <w:sz w:val="11"/>
                <w:szCs w:val="11"/>
                <w:color w:val="auto"/>
              </w:rPr>
              <w:t>Other mortgage-related</w:t>
            </w: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263</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360" w:type="dxa"/>
            <w:vAlign w:val="bottom"/>
            <w:tcBorders>
              <w:bottom w:val="single" w:sz="8" w:color="2C6937"/>
            </w:tcBorders>
          </w:tcPr>
          <w:p>
            <w:pPr>
              <w:jc w:val="right"/>
              <w:ind w:right="9"/>
              <w:spacing w:after="0"/>
              <w:rPr>
                <w:sz w:val="20"/>
                <w:szCs w:val="20"/>
                <w:color w:val="auto"/>
              </w:rPr>
            </w:pPr>
            <w:r>
              <w:rPr>
                <w:rFonts w:ascii="Arial" w:cs="Arial" w:eastAsia="Arial" w:hAnsi="Arial"/>
                <w:sz w:val="11"/>
                <w:szCs w:val="11"/>
                <w:color w:val="auto"/>
              </w:rPr>
              <w:t>5</w:t>
            </w:r>
          </w:p>
        </w:tc>
        <w:tc>
          <w:tcPr>
            <w:tcW w:w="36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ind w:left="38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235</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tcPr>
          <w:p>
            <w:pPr>
              <w:jc w:val="right"/>
              <w:ind w:right="29"/>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7"/>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available-for-sale</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7"/>
                <w:szCs w:val="7"/>
                <w:color w:val="auto"/>
              </w:rPr>
              <w:t>(6)(7)</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40" w:type="dxa"/>
            <w:vAlign w:val="bottom"/>
            <w:tcBorders>
              <w:bottom w:val="single" w:sz="8" w:color="2C6937"/>
            </w:tcBorders>
          </w:tcPr>
          <w:p>
            <w:pPr>
              <w:ind w:left="140"/>
              <w:spacing w:after="0"/>
              <w:rPr>
                <w:sz w:val="20"/>
                <w:szCs w:val="20"/>
                <w:color w:val="auto"/>
              </w:rPr>
            </w:pPr>
            <w:r>
              <w:rPr>
                <w:rFonts w:ascii="Arial" w:cs="Arial" w:eastAsia="Arial" w:hAnsi="Arial"/>
                <w:sz w:val="11"/>
                <w:szCs w:val="11"/>
                <w:color w:val="auto"/>
              </w:rPr>
              <w:t>securities</w:t>
            </w:r>
          </w:p>
        </w:tc>
        <w:tc>
          <w:tcPr>
            <w:tcW w:w="100" w:type="dxa"/>
            <w:vAlign w:val="bottom"/>
          </w:tcPr>
          <w:p>
            <w:pPr>
              <w:spacing w:after="0"/>
              <w:rPr>
                <w:sz w:val="14"/>
                <w:szCs w:val="14"/>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634</w:t>
            </w:r>
          </w:p>
        </w:tc>
        <w:tc>
          <w:tcPr>
            <w:tcW w:w="80" w:type="dxa"/>
            <w:vAlign w:val="bottom"/>
          </w:tcPr>
          <w:p>
            <w:pPr>
              <w:spacing w:after="0"/>
              <w:rPr>
                <w:sz w:val="14"/>
                <w:szCs w:val="14"/>
                <w:color w:val="auto"/>
              </w:rPr>
            </w:pPr>
          </w:p>
        </w:tc>
        <w:tc>
          <w:tcPr>
            <w:tcW w:w="200" w:type="dxa"/>
            <w:vAlign w:val="bottom"/>
            <w:tcBorders>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2C6937"/>
            </w:tcBorders>
          </w:tcPr>
          <w:p>
            <w:pPr>
              <w:jc w:val="right"/>
              <w:ind w:right="9"/>
              <w:spacing w:after="0"/>
              <w:rPr>
                <w:sz w:val="20"/>
                <w:szCs w:val="20"/>
                <w:color w:val="auto"/>
              </w:rPr>
            </w:pPr>
            <w:r>
              <w:rPr>
                <w:rFonts w:ascii="Arial" w:cs="Arial" w:eastAsia="Arial" w:hAnsi="Arial"/>
                <w:sz w:val="11"/>
                <w:szCs w:val="11"/>
                <w:color w:val="auto"/>
              </w:rPr>
              <w:t>6</w:t>
            </w:r>
          </w:p>
        </w:tc>
        <w:tc>
          <w:tcPr>
            <w:tcW w:w="36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2C6937"/>
            </w:tcBorders>
          </w:tcPr>
          <w:p>
            <w:pPr>
              <w:ind w:left="38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4"/>
                <w:szCs w:val="14"/>
                <w:color w:val="auto"/>
              </w:rPr>
            </w:pPr>
          </w:p>
        </w:tc>
        <w:tc>
          <w:tcPr>
            <w:tcW w:w="200" w:type="dxa"/>
            <w:vAlign w:val="bottom"/>
            <w:tcBorders>
              <w:bottom w:val="single" w:sz="8" w:color="2C6937"/>
            </w:tcBorders>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591</w:t>
            </w:r>
          </w:p>
        </w:tc>
        <w:tc>
          <w:tcPr>
            <w:tcW w:w="8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2C6937"/>
            </w:tcBorders>
          </w:tcPr>
          <w:p>
            <w:pPr>
              <w:jc w:val="right"/>
              <w:ind w:right="2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60" w:type="dxa"/>
            <w:vAlign w:val="bottom"/>
            <w:tcBorders>
              <w:bottom w:val="single" w:sz="8" w:color="2C6937"/>
            </w:tcBorders>
          </w:tcPr>
          <w:p>
            <w:pPr>
              <w:spacing w:after="0"/>
              <w:rPr>
                <w:sz w:val="2"/>
                <w:szCs w:val="2"/>
                <w:color w:val="auto"/>
              </w:rPr>
            </w:pPr>
          </w:p>
        </w:tc>
        <w:tc>
          <w:tcPr>
            <w:tcW w:w="360" w:type="dxa"/>
            <w:vAlign w:val="bottom"/>
            <w:vMerge w:val="restart"/>
          </w:tcPr>
          <w:p>
            <w:pPr>
              <w:ind w:left="20"/>
              <w:spacing w:after="0"/>
              <w:rPr>
                <w:sz w:val="20"/>
                <w:szCs w:val="20"/>
                <w:color w:val="auto"/>
              </w:rPr>
            </w:pPr>
            <w:r>
              <w:rPr>
                <w:rFonts w:ascii="Arial" w:cs="Arial" w:eastAsia="Arial" w:hAnsi="Arial"/>
                <w:sz w:val="7"/>
                <w:szCs w:val="7"/>
                <w:color w:val="auto"/>
              </w:rPr>
              <w:t>(5)(6)</w:t>
            </w: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6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Mortgage loans</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543</w:t>
            </w:r>
          </w:p>
        </w:tc>
        <w:tc>
          <w:tcPr>
            <w:tcW w:w="80" w:type="dxa"/>
            <w:vAlign w:val="bottom"/>
          </w:tcPr>
          <w:p>
            <w:pPr>
              <w:spacing w:after="0"/>
              <w:rPr>
                <w:sz w:val="23"/>
                <w:szCs w:val="23"/>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9"/>
              <w:spacing w:after="0"/>
              <w:rPr>
                <w:sz w:val="20"/>
                <w:szCs w:val="20"/>
                <w:color w:val="auto"/>
              </w:rPr>
            </w:pPr>
            <w:r>
              <w:rPr>
                <w:rFonts w:ascii="Arial" w:cs="Arial" w:eastAsia="Arial" w:hAnsi="Arial"/>
                <w:sz w:val="11"/>
                <w:szCs w:val="11"/>
                <w:color w:val="auto"/>
              </w:rPr>
              <w:t>3</w:t>
            </w:r>
          </w:p>
        </w:tc>
        <w:tc>
          <w:tcPr>
            <w:tcW w:w="360" w:type="dxa"/>
            <w:vAlign w:val="bottom"/>
            <w:vMerge w:val="continue"/>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23"/>
                <w:szCs w:val="23"/>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510</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22"/>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Net derivatives</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jc w:val="right"/>
              <w:ind w:right="9"/>
              <w:spacing w:after="0"/>
              <w:rPr>
                <w:sz w:val="20"/>
                <w:szCs w:val="20"/>
                <w:color w:val="auto"/>
              </w:rPr>
            </w:pPr>
            <w:r>
              <w:rPr>
                <w:rFonts w:ascii="Arial" w:cs="Arial" w:eastAsia="Arial" w:hAnsi="Arial"/>
                <w:sz w:val="11"/>
                <w:szCs w:val="11"/>
                <w:color w:val="auto"/>
              </w:rPr>
              <w:t>32</w:t>
            </w:r>
          </w:p>
        </w:tc>
        <w:tc>
          <w:tcPr>
            <w:tcW w:w="360" w:type="dxa"/>
            <w:vAlign w:val="bottom"/>
          </w:tcPr>
          <w:p>
            <w:pPr>
              <w:ind w:left="20"/>
              <w:spacing w:after="0"/>
              <w:rPr>
                <w:sz w:val="20"/>
                <w:szCs w:val="20"/>
                <w:color w:val="auto"/>
              </w:rPr>
            </w:pPr>
            <w:r>
              <w:rPr>
                <w:rFonts w:ascii="Arial" w:cs="Arial" w:eastAsia="Arial" w:hAnsi="Arial"/>
                <w:sz w:val="7"/>
                <w:szCs w:val="7"/>
                <w:color w:val="auto"/>
              </w:rPr>
              <w:t>(5)</w:t>
            </w:r>
          </w:p>
        </w:tc>
        <w:tc>
          <w:tcPr>
            <w:tcW w:w="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4"/>
                <w:szCs w:val="24"/>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9"/>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Long-term debt: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440" w:type="dxa"/>
            <w:vAlign w:val="bottom"/>
            <w:gridSpan w:val="2"/>
          </w:tcPr>
          <w:p>
            <w:pPr>
              <w:ind w:left="100"/>
              <w:spacing w:after="0"/>
              <w:rPr>
                <w:sz w:val="20"/>
                <w:szCs w:val="20"/>
                <w:color w:val="auto"/>
              </w:rPr>
            </w:pPr>
            <w:r>
              <w:rPr>
                <w:rFonts w:ascii="Arial" w:cs="Arial" w:eastAsia="Arial" w:hAnsi="Arial"/>
                <w:sz w:val="11"/>
                <w:szCs w:val="11"/>
                <w:color w:val="auto"/>
              </w:rPr>
              <w:t>Of Fannie Mae</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(242)</w:t>
            </w:r>
          </w:p>
        </w:tc>
        <w:tc>
          <w:tcPr>
            <w:tcW w:w="80" w:type="dxa"/>
            <w:vAlign w:val="bottom"/>
          </w:tcPr>
          <w:p>
            <w:pPr>
              <w:spacing w:after="0"/>
              <w:rPr>
                <w:sz w:val="14"/>
                <w:szCs w:val="1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(14)</w:t>
            </w:r>
          </w:p>
        </w:tc>
        <w:tc>
          <w:tcPr>
            <w:tcW w:w="360" w:type="dxa"/>
            <w:vAlign w:val="bottom"/>
          </w:tcPr>
          <w:p>
            <w:pPr>
              <w:ind w:left="20"/>
              <w:spacing w:after="0"/>
              <w:rPr>
                <w:sz w:val="20"/>
                <w:szCs w:val="20"/>
                <w:color w:val="auto"/>
              </w:rPr>
            </w:pPr>
            <w:r>
              <w:rPr>
                <w:rFonts w:ascii="Arial" w:cs="Arial" w:eastAsia="Arial" w:hAnsi="Arial"/>
                <w:sz w:val="7"/>
                <w:szCs w:val="7"/>
                <w:color w:val="auto"/>
              </w:rPr>
              <w:t>(5)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(256)</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9"/>
        </w:trPr>
        <w:tc>
          <w:tcPr>
            <w:tcW w:w="1340" w:type="dxa"/>
            <w:vAlign w:val="bottom"/>
            <w:tcBorders>
              <w:bottom w:val="single" w:sz="8" w:color="2C6937"/>
            </w:tcBorders>
          </w:tcPr>
          <w:p>
            <w:pPr>
              <w:ind w:left="100"/>
              <w:spacing w:after="0"/>
              <w:rPr>
                <w:sz w:val="20"/>
                <w:szCs w:val="20"/>
                <w:color w:val="auto"/>
              </w:rPr>
            </w:pPr>
            <w:r>
              <w:rPr>
                <w:rFonts w:ascii="Arial" w:cs="Arial" w:eastAsia="Arial" w:hAnsi="Arial"/>
                <w:sz w:val="11"/>
                <w:szCs w:val="11"/>
                <w:color w:val="auto"/>
              </w:rPr>
              <w:t>Of consolidated trusts</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(136)</w:t>
            </w:r>
          </w:p>
        </w:tc>
        <w:tc>
          <w:tcPr>
            <w:tcW w:w="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jc w:val="right"/>
              <w:ind w:right="9"/>
              <w:spacing w:after="0"/>
              <w:rPr>
                <w:sz w:val="20"/>
                <w:szCs w:val="20"/>
                <w:color w:val="auto"/>
              </w:rPr>
            </w:pPr>
            <w:r>
              <w:rPr>
                <w:rFonts w:ascii="Arial" w:cs="Arial" w:eastAsia="Arial" w:hAnsi="Arial"/>
                <w:sz w:val="11"/>
                <w:szCs w:val="11"/>
                <w:color w:val="auto"/>
              </w:rPr>
              <w:t>—</w:t>
            </w:r>
          </w:p>
        </w:tc>
        <w:tc>
          <w:tcPr>
            <w:tcW w:w="360" w:type="dxa"/>
            <w:vAlign w:val="bottom"/>
          </w:tcPr>
          <w:p>
            <w:pPr>
              <w:ind w:left="20"/>
              <w:spacing w:after="0"/>
              <w:rPr>
                <w:sz w:val="20"/>
                <w:szCs w:val="20"/>
                <w:color w:val="auto"/>
              </w:rPr>
            </w:pPr>
            <w:r>
              <w:rPr>
                <w:rFonts w:ascii="Arial" w:cs="Arial" w:eastAsia="Arial" w:hAnsi="Arial"/>
                <w:sz w:val="7"/>
                <w:szCs w:val="7"/>
                <w:color w:val="auto"/>
              </w:rPr>
              <w:t>(5)(6)</w:t>
            </w:r>
          </w:p>
        </w:tc>
        <w:tc>
          <w:tcPr>
            <w:tcW w:w="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44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tcPr>
          <w:p>
            <w:pPr>
              <w:ind w:lef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(125)</w:t>
            </w:r>
          </w:p>
        </w:tc>
        <w:tc>
          <w:tcPr>
            <w:tcW w:w="8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3"/>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long-term debt</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(378)</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(14)</w:t>
            </w:r>
          </w:p>
        </w:tc>
        <w:tc>
          <w:tcPr>
            <w:tcW w:w="3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(381)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
        </w:trPr>
        <w:tc>
          <w:tcPr>
            <w:tcW w:w="13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68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360" w:type="dxa"/>
            <w:vAlign w:val="bottom"/>
            <w:tcBorders>
              <w:top w:val="single" w:sz="8" w:color="2C6937"/>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6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8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7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52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6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6937"/>
              <w:bottom w:val="single" w:sz="8" w:color="2C6937"/>
            </w:tcBorders>
          </w:tcPr>
          <w:p>
            <w:pPr>
              <w:spacing w:after="0"/>
              <w:rPr>
                <w:sz w:val="2"/>
                <w:szCs w:val="2"/>
                <w:color w:val="auto"/>
              </w:rPr>
            </w:pPr>
          </w:p>
        </w:tc>
        <w:tc>
          <w:tcPr>
            <w:tcW w:w="82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217" w:hanging="217"/>
        <w:spacing w:after="0"/>
        <w:tabs>
          <w:tab w:leader="none" w:pos="217" w:val="left"/>
        </w:tabs>
        <w:numPr>
          <w:ilvl w:val="0"/>
          <w:numId w:val="125"/>
        </w:numPr>
        <w:rPr>
          <w:rFonts w:ascii="Arial" w:cs="Arial" w:eastAsia="Arial" w:hAnsi="Arial"/>
          <w:sz w:val="18"/>
          <w:szCs w:val="18"/>
          <w:color w:val="auto"/>
          <w:vertAlign w:val="superscript"/>
        </w:rPr>
      </w:pPr>
      <w:r>
        <w:rPr>
          <w:rFonts w:ascii="Arial" w:cs="Arial" w:eastAsia="Arial" w:hAnsi="Arial"/>
          <w:sz w:val="14"/>
          <w:szCs w:val="14"/>
          <w:color w:val="auto"/>
        </w:rPr>
        <w:t>Gains (losses) are included in “Other comprehensive income (loss)” in our condensed consolidated statements of operations and comprehensive income.</w:t>
      </w:r>
    </w:p>
    <w:p>
      <w:pPr>
        <w:spacing w:after="0" w:line="37" w:lineRule="exact"/>
        <w:rPr>
          <w:rFonts w:ascii="Arial" w:cs="Arial" w:eastAsia="Arial" w:hAnsi="Arial"/>
          <w:sz w:val="18"/>
          <w:szCs w:val="18"/>
          <w:color w:val="auto"/>
          <w:vertAlign w:val="superscript"/>
        </w:rPr>
      </w:pPr>
    </w:p>
    <w:p>
      <w:pPr>
        <w:ind w:left="217" w:hanging="217"/>
        <w:spacing w:after="0" w:line="195" w:lineRule="auto"/>
        <w:tabs>
          <w:tab w:leader="none" w:pos="217" w:val="left"/>
        </w:tabs>
        <w:numPr>
          <w:ilvl w:val="0"/>
          <w:numId w:val="125"/>
        </w:numPr>
        <w:rPr>
          <w:rFonts w:ascii="Arial" w:cs="Arial" w:eastAsia="Arial" w:hAnsi="Arial"/>
          <w:sz w:val="18"/>
          <w:szCs w:val="18"/>
          <w:color w:val="auto"/>
          <w:vertAlign w:val="superscript"/>
        </w:rPr>
      </w:pPr>
      <w:r>
        <w:rPr>
          <w:rFonts w:ascii="Arial" w:cs="Arial" w:eastAsia="Arial" w:hAnsi="Arial"/>
          <w:sz w:val="14"/>
          <w:szCs w:val="14"/>
          <w:color w:val="auto"/>
        </w:rPr>
        <w:t>Purchases and sales include activity related to the consolidation and deconsolidation of assets of securitization trusts.</w:t>
      </w:r>
    </w:p>
    <w:p>
      <w:pPr>
        <w:spacing w:after="0" w:line="25" w:lineRule="exact"/>
        <w:rPr>
          <w:rFonts w:ascii="Arial" w:cs="Arial" w:eastAsia="Arial" w:hAnsi="Arial"/>
          <w:sz w:val="18"/>
          <w:szCs w:val="18"/>
          <w:color w:val="auto"/>
          <w:vertAlign w:val="superscript"/>
        </w:rPr>
      </w:pPr>
    </w:p>
    <w:p>
      <w:pPr>
        <w:ind w:left="217" w:hanging="217"/>
        <w:spacing w:after="0"/>
        <w:tabs>
          <w:tab w:leader="none" w:pos="217" w:val="left"/>
        </w:tabs>
        <w:numPr>
          <w:ilvl w:val="0"/>
          <w:numId w:val="125"/>
        </w:numPr>
        <w:rPr>
          <w:rFonts w:ascii="Arial" w:cs="Arial" w:eastAsia="Arial" w:hAnsi="Arial"/>
          <w:sz w:val="9"/>
          <w:szCs w:val="9"/>
          <w:color w:val="auto"/>
        </w:rPr>
      </w:pPr>
      <w:r>
        <w:rPr>
          <w:rFonts w:ascii="Arial" w:cs="Arial" w:eastAsia="Arial" w:hAnsi="Arial"/>
          <w:sz w:val="14"/>
          <w:szCs w:val="14"/>
          <w:color w:val="auto"/>
        </w:rPr>
        <w:t>Issues and settlements include activity related to the consolidation and deconsolidation of liabilities of securitization trusts.</w:t>
      </w:r>
    </w:p>
    <w:p>
      <w:pPr>
        <w:spacing w:after="0" w:line="33" w:lineRule="exact"/>
        <w:rPr>
          <w:rFonts w:ascii="Arial" w:cs="Arial" w:eastAsia="Arial" w:hAnsi="Arial"/>
          <w:sz w:val="9"/>
          <w:szCs w:val="9"/>
          <w:color w:val="auto"/>
        </w:rPr>
      </w:pPr>
    </w:p>
    <w:p>
      <w:pPr>
        <w:ind w:left="217" w:hanging="217"/>
        <w:spacing w:after="0"/>
        <w:tabs>
          <w:tab w:leader="none" w:pos="217" w:val="left"/>
        </w:tabs>
        <w:numPr>
          <w:ilvl w:val="0"/>
          <w:numId w:val="125"/>
        </w:numPr>
        <w:rPr>
          <w:rFonts w:ascii="Arial" w:cs="Arial" w:eastAsia="Arial" w:hAnsi="Arial"/>
          <w:sz w:val="8"/>
          <w:szCs w:val="8"/>
          <w:color w:val="auto"/>
        </w:rPr>
      </w:pPr>
      <w:r>
        <w:rPr>
          <w:rFonts w:ascii="Arial" w:cs="Arial" w:eastAsia="Arial" w:hAnsi="Arial"/>
          <w:sz w:val="13"/>
          <w:szCs w:val="13"/>
          <w:color w:val="auto"/>
        </w:rPr>
        <w:t>Amount represents temporary changes in fair value. Amortization, accretion and the impairment of credit losses are not considered unrealized and are not included in this amount.</w:t>
      </w:r>
    </w:p>
    <w:p>
      <w:pPr>
        <w:spacing w:after="0" w:line="30" w:lineRule="exact"/>
        <w:rPr>
          <w:rFonts w:ascii="Arial" w:cs="Arial" w:eastAsia="Arial" w:hAnsi="Arial"/>
          <w:sz w:val="8"/>
          <w:szCs w:val="8"/>
          <w:color w:val="auto"/>
        </w:rPr>
      </w:pPr>
    </w:p>
    <w:p>
      <w:pPr>
        <w:ind w:left="217" w:hanging="217"/>
        <w:spacing w:after="0"/>
        <w:tabs>
          <w:tab w:leader="none" w:pos="217" w:val="left"/>
        </w:tabs>
        <w:numPr>
          <w:ilvl w:val="0"/>
          <w:numId w:val="125"/>
        </w:numPr>
        <w:rPr>
          <w:rFonts w:ascii="Arial" w:cs="Arial" w:eastAsia="Arial" w:hAnsi="Arial"/>
          <w:sz w:val="18"/>
          <w:szCs w:val="18"/>
          <w:color w:val="auto"/>
          <w:vertAlign w:val="superscript"/>
        </w:rPr>
      </w:pPr>
      <w:r>
        <w:rPr>
          <w:rFonts w:ascii="Arial" w:cs="Arial" w:eastAsia="Arial" w:hAnsi="Arial"/>
          <w:sz w:val="14"/>
          <w:szCs w:val="14"/>
          <w:color w:val="auto"/>
        </w:rPr>
        <w:t>Gains (losses) are included in “Fair value gains (losses), net” in our condensed consolidated statements of operations and comprehensive income.</w:t>
      </w:r>
    </w:p>
    <w:p>
      <w:pPr>
        <w:spacing w:after="0" w:line="37" w:lineRule="exact"/>
        <w:rPr>
          <w:rFonts w:ascii="Arial" w:cs="Arial" w:eastAsia="Arial" w:hAnsi="Arial"/>
          <w:sz w:val="18"/>
          <w:szCs w:val="18"/>
          <w:color w:val="auto"/>
          <w:vertAlign w:val="superscript"/>
        </w:rPr>
      </w:pPr>
    </w:p>
    <w:p>
      <w:pPr>
        <w:ind w:left="217" w:hanging="217"/>
        <w:spacing w:after="0" w:line="206" w:lineRule="auto"/>
        <w:tabs>
          <w:tab w:leader="none" w:pos="217" w:val="left"/>
        </w:tabs>
        <w:numPr>
          <w:ilvl w:val="0"/>
          <w:numId w:val="125"/>
        </w:numPr>
        <w:rPr>
          <w:rFonts w:ascii="Arial" w:cs="Arial" w:eastAsia="Arial" w:hAnsi="Arial"/>
          <w:sz w:val="17"/>
          <w:szCs w:val="17"/>
          <w:color w:val="auto"/>
          <w:vertAlign w:val="superscript"/>
        </w:rPr>
      </w:pPr>
      <w:r>
        <w:rPr>
          <w:rFonts w:ascii="Arial" w:cs="Arial" w:eastAsia="Arial" w:hAnsi="Arial"/>
          <w:sz w:val="13"/>
          <w:szCs w:val="13"/>
          <w:color w:val="auto"/>
        </w:rPr>
        <w:t>Gains (losses) included in “Net interest income” in our condensed consolidated statements of operations and comprehensive income includes amortization of cost basis adjustments.</w:t>
      </w:r>
    </w:p>
    <w:p>
      <w:pPr>
        <w:spacing w:after="0" w:line="38" w:lineRule="exact"/>
        <w:rPr>
          <w:rFonts w:ascii="Arial" w:cs="Arial" w:eastAsia="Arial" w:hAnsi="Arial"/>
          <w:sz w:val="17"/>
          <w:szCs w:val="17"/>
          <w:color w:val="auto"/>
          <w:vertAlign w:val="superscript"/>
        </w:rPr>
      </w:pPr>
    </w:p>
    <w:p>
      <w:pPr>
        <w:ind w:left="217" w:hanging="217"/>
        <w:spacing w:after="0" w:line="195" w:lineRule="auto"/>
        <w:tabs>
          <w:tab w:leader="none" w:pos="217" w:val="left"/>
        </w:tabs>
        <w:numPr>
          <w:ilvl w:val="0"/>
          <w:numId w:val="125"/>
        </w:numPr>
        <w:rPr>
          <w:rFonts w:ascii="Arial" w:cs="Arial" w:eastAsia="Arial" w:hAnsi="Arial"/>
          <w:sz w:val="18"/>
          <w:szCs w:val="18"/>
          <w:color w:val="auto"/>
          <w:vertAlign w:val="superscript"/>
        </w:rPr>
      </w:pPr>
      <w:r>
        <w:rPr>
          <w:rFonts w:ascii="Arial" w:cs="Arial" w:eastAsia="Arial" w:hAnsi="Arial"/>
          <w:sz w:val="14"/>
          <w:szCs w:val="14"/>
          <w:color w:val="auto"/>
        </w:rPr>
        <w:t>Gains (losses) are included in “Investment gains (losses), net” in our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365125</wp:posOffset>
            </wp:positionV>
            <wp:extent cx="680593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37"/>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164070" cy="419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37"/>
          </w:cols>
          <w:pgMar w:left="323" w:top="248" w:right="339" w:bottom="1440" w:gutter="0" w:footer="0" w:header="0"/>
        </w:sectPr>
      </w:pPr>
    </w:p>
    <w:bookmarkStart w:id="109" w:name="page110"/>
    <w:bookmarkEnd w:id="109"/>
    <w:p>
      <w:pPr>
        <w:ind w:left="698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following tables display valuation techniques and the range and the weighted average of significant unobservable inputs for our Level 3 assets and liabilities measured at fair value on a recurring basis, excluding instruments for which we have elected the fair value option. Changes in these unobservable inputs can result in significantly higher or lower fair value measurements of these assets and liabilities as of the reporting date.</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Recurring fair value measurements:</w:t>
      </w:r>
    </w:p>
    <w:p>
      <w:pPr>
        <w:spacing w:after="0" w:line="72" w:lineRule="exact"/>
        <w:rPr>
          <w:sz w:val="20"/>
          <w:szCs w:val="20"/>
          <w:color w:val="auto"/>
        </w:rPr>
      </w:pPr>
    </w:p>
    <w:p>
      <w:pPr>
        <w:ind w:left="80"/>
        <w:spacing w:after="0"/>
        <w:rPr>
          <w:sz w:val="20"/>
          <w:szCs w:val="20"/>
          <w:color w:val="auto"/>
        </w:rPr>
      </w:pPr>
      <w:r>
        <w:rPr>
          <w:rFonts w:ascii="Arial" w:cs="Arial" w:eastAsia="Arial" w:hAnsi="Arial"/>
          <w:sz w:val="14"/>
          <w:szCs w:val="14"/>
          <w:color w:val="auto"/>
        </w:rPr>
        <w:t>Trading securities: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Mortgage-related</w:t>
      </w:r>
      <w:r>
        <w:rPr>
          <w:rFonts w:ascii="Arial" w:cs="Arial" w:eastAsia="Arial" w:hAnsi="Arial"/>
          <w:sz w:val="17"/>
          <w:szCs w:val="17"/>
          <w:color w:val="auto"/>
          <w:vertAlign w:val="superscript"/>
        </w:rPr>
        <w:t>(3)</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4"/>
          <w:szCs w:val="14"/>
          <w:color w:val="auto"/>
        </w:rPr>
        <w:t>Available-for-sale securities: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Agency</w:t>
      </w:r>
      <w:r>
        <w:rPr>
          <w:rFonts w:ascii="Arial" w:cs="Arial" w:eastAsia="Arial" w:hAnsi="Arial"/>
          <w:sz w:val="17"/>
          <w:szCs w:val="17"/>
          <w:color w:val="auto"/>
          <w:vertAlign w:val="superscript"/>
        </w:rPr>
        <w:t>(3)</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263525</wp:posOffset>
            </wp:positionV>
            <wp:extent cx="226758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Total 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25400</wp:posOffset>
            </wp:positionV>
            <wp:extent cx="226758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51" w:lineRule="exact"/>
        <w:rPr>
          <w:sz w:val="20"/>
          <w:szCs w:val="20"/>
          <w:color w:val="auto"/>
        </w:rPr>
      </w:pPr>
    </w:p>
    <w:p>
      <w:pPr>
        <w:ind w:left="80"/>
        <w:spacing w:after="0"/>
        <w:rPr>
          <w:sz w:val="20"/>
          <w:szCs w:val="20"/>
          <w:color w:val="auto"/>
        </w:rPr>
      </w:pPr>
      <w:r>
        <w:rPr>
          <w:rFonts w:ascii="Arial" w:cs="Arial" w:eastAsia="Arial" w:hAnsi="Arial"/>
          <w:sz w:val="14"/>
          <w:szCs w:val="14"/>
          <w:color w:val="auto"/>
        </w:rPr>
        <w:t>Total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25400</wp:posOffset>
            </wp:positionV>
            <wp:extent cx="226758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26758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50165</wp:posOffset>
            </wp:positionV>
            <wp:extent cx="226758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4"/>
          <w:szCs w:val="14"/>
          <w:color w:val="auto"/>
        </w:rPr>
        <w:t>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147955</wp:posOffset>
            </wp:positionV>
            <wp:extent cx="226758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44" w:lineRule="exact"/>
        <w:rPr>
          <w:sz w:val="20"/>
          <w:szCs w:val="20"/>
          <w:color w:val="auto"/>
        </w:rPr>
      </w:pPr>
    </w:p>
    <w:p>
      <w:pPr>
        <w:ind w:left="80"/>
        <w:spacing w:after="0"/>
        <w:rPr>
          <w:sz w:val="20"/>
          <w:szCs w:val="20"/>
          <w:color w:val="auto"/>
        </w:rPr>
      </w:pPr>
      <w:r>
        <w:rPr>
          <w:rFonts w:ascii="Arial" w:cs="Arial" w:eastAsia="Arial" w:hAnsi="Arial"/>
          <w:sz w:val="14"/>
          <w:szCs w:val="14"/>
          <w:color w:val="auto"/>
        </w:rPr>
        <w:t>Total 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25400</wp:posOffset>
            </wp:positionV>
            <wp:extent cx="226758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26758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50165</wp:posOffset>
            </wp:positionV>
            <wp:extent cx="226758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Recurring fair value measurements: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Trading securities: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Mortgage-related</w:t>
      </w:r>
      <w:r>
        <w:rPr>
          <w:rFonts w:ascii="Arial" w:cs="Arial" w:eastAsia="Arial" w:hAnsi="Arial"/>
          <w:sz w:val="17"/>
          <w:szCs w:val="17"/>
          <w:color w:val="auto"/>
          <w:vertAlign w:val="superscript"/>
        </w:rPr>
        <w:t>(3)</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Available-for-sale securities: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Agency</w:t>
      </w:r>
      <w:r>
        <w:rPr>
          <w:rFonts w:ascii="Arial" w:cs="Arial" w:eastAsia="Arial" w:hAnsi="Arial"/>
          <w:sz w:val="17"/>
          <w:szCs w:val="17"/>
          <w:color w:val="auto"/>
          <w:vertAlign w:val="superscript"/>
        </w:rPr>
        <w:t>(3)</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230060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30060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30060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3006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230060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230060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30060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3006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230060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Fair Value Measurements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18415</wp:posOffset>
            </wp:positionV>
            <wp:extent cx="473202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800" w:type="dxa"/>
            <w:vAlign w:val="bottom"/>
            <w:vMerge w:val="restart"/>
          </w:tcPr>
          <w:p>
            <w:pPr>
              <w:jc w:val="center"/>
              <w:ind w:left="11"/>
              <w:spacing w:after="0"/>
              <w:rPr>
                <w:sz w:val="20"/>
                <w:szCs w:val="20"/>
                <w:color w:val="auto"/>
              </w:rPr>
            </w:pPr>
            <w:r>
              <w:rPr>
                <w:rFonts w:ascii="Arial" w:cs="Arial" w:eastAsia="Arial" w:hAnsi="Arial"/>
                <w:sz w:val="14"/>
                <w:szCs w:val="14"/>
                <w:b w:val="1"/>
                <w:bCs w:val="1"/>
                <w:color w:val="auto"/>
                <w:w w:val="98"/>
              </w:rPr>
              <w:t>Significant Valuation</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7"/>
              </w:rPr>
              <w:t>Significant</w:t>
            </w:r>
          </w:p>
        </w:tc>
        <w:tc>
          <w:tcPr>
            <w:tcW w:w="1300" w:type="dxa"/>
            <w:vAlign w:val="bottom"/>
          </w:tcPr>
          <w:p>
            <w:pPr>
              <w:spacing w:after="0"/>
              <w:rPr>
                <w:sz w:val="14"/>
                <w:szCs w:val="14"/>
                <w:color w:val="auto"/>
              </w:rPr>
            </w:pPr>
          </w:p>
        </w:tc>
        <w:tc>
          <w:tcPr>
            <w:tcW w:w="1420" w:type="dxa"/>
            <w:vAlign w:val="bottom"/>
            <w:vMerge w:val="restart"/>
          </w:tcPr>
          <w:p>
            <w:pPr>
              <w:jc w:val="center"/>
              <w:ind w:left="51"/>
              <w:spacing w:after="0"/>
              <w:rPr>
                <w:sz w:val="20"/>
                <w:szCs w:val="20"/>
                <w:color w:val="auto"/>
              </w:rPr>
            </w:pPr>
            <w:r>
              <w:rPr>
                <w:rFonts w:ascii="Arial" w:cs="Arial" w:eastAsia="Arial" w:hAnsi="Arial"/>
                <w:sz w:val="14"/>
                <w:szCs w:val="14"/>
                <w:b w:val="1"/>
                <w:bCs w:val="1"/>
                <w:color w:val="auto"/>
                <w:w w:val="97"/>
              </w:rPr>
              <w:t>Weighted -</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9"/>
              </w:rPr>
              <w:t>Unobservable</w:t>
            </w:r>
          </w:p>
        </w:tc>
        <w:tc>
          <w:tcPr>
            <w:tcW w:w="13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tcBorders>
              <w:bottom w:val="single" w:sz="8" w:color="2C6937"/>
            </w:tcBorders>
          </w:tcPr>
          <w:p>
            <w:pPr>
              <w:ind w:left="160"/>
              <w:spacing w:after="0"/>
              <w:rPr>
                <w:sz w:val="20"/>
                <w:szCs w:val="20"/>
                <w:color w:val="auto"/>
              </w:rPr>
            </w:pPr>
            <w:r>
              <w:rPr>
                <w:rFonts w:ascii="Arial" w:cs="Arial" w:eastAsia="Arial" w:hAnsi="Arial"/>
                <w:sz w:val="14"/>
                <w:szCs w:val="14"/>
                <w:b w:val="1"/>
                <w:bCs w:val="1"/>
                <w:color w:val="auto"/>
              </w:rPr>
              <w:t>Fair Value</w:t>
            </w:r>
          </w:p>
        </w:tc>
        <w:tc>
          <w:tcPr>
            <w:tcW w:w="1800" w:type="dxa"/>
            <w:vAlign w:val="bottom"/>
            <w:tcBorders>
              <w:bottom w:val="single" w:sz="8" w:color="2C6937"/>
            </w:tcBorders>
          </w:tcPr>
          <w:p>
            <w:pPr>
              <w:jc w:val="center"/>
              <w:ind w:left="11"/>
              <w:spacing w:after="0"/>
              <w:rPr>
                <w:sz w:val="20"/>
                <w:szCs w:val="20"/>
                <w:color w:val="auto"/>
              </w:rPr>
            </w:pPr>
            <w:r>
              <w:rPr>
                <w:rFonts w:ascii="Arial" w:cs="Arial" w:eastAsia="Arial" w:hAnsi="Arial"/>
                <w:sz w:val="14"/>
                <w:szCs w:val="14"/>
                <w:b w:val="1"/>
                <w:bCs w:val="1"/>
                <w:color w:val="auto"/>
                <w:w w:val="97"/>
              </w:rPr>
              <w:t>Techniques</w:t>
            </w:r>
          </w:p>
        </w:tc>
        <w:tc>
          <w:tcPr>
            <w:tcW w:w="18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3"/>
              </w:rPr>
              <w:t>Inputs</w:t>
            </w:r>
            <w:r>
              <w:rPr>
                <w:rFonts w:ascii="Arial" w:cs="Arial" w:eastAsia="Arial" w:hAnsi="Arial"/>
                <w:sz w:val="17"/>
                <w:szCs w:val="17"/>
                <w:b w:val="1"/>
                <w:bCs w:val="1"/>
                <w:color w:val="auto"/>
                <w:w w:val="93"/>
                <w:vertAlign w:val="superscript"/>
              </w:rPr>
              <w:t>(1)</w:t>
            </w:r>
          </w:p>
        </w:tc>
        <w:tc>
          <w:tcPr>
            <w:tcW w:w="1300" w:type="dxa"/>
            <w:vAlign w:val="bottom"/>
            <w:tcBorders>
              <w:bottom w:val="single" w:sz="8" w:color="2C6937"/>
            </w:tcBorders>
          </w:tcPr>
          <w:p>
            <w:pPr>
              <w:ind w:left="380"/>
              <w:spacing w:after="0"/>
              <w:rPr>
                <w:sz w:val="20"/>
                <w:szCs w:val="20"/>
                <w:color w:val="auto"/>
              </w:rPr>
            </w:pPr>
            <w:r>
              <w:rPr>
                <w:rFonts w:ascii="Arial" w:cs="Arial" w:eastAsia="Arial" w:hAnsi="Arial"/>
                <w:sz w:val="14"/>
                <w:szCs w:val="14"/>
                <w:b w:val="1"/>
                <w:bCs w:val="1"/>
                <w:color w:val="auto"/>
              </w:rPr>
              <w:t>Range</w:t>
            </w:r>
            <w:r>
              <w:rPr>
                <w:rFonts w:ascii="Arial" w:cs="Arial" w:eastAsia="Arial" w:hAnsi="Arial"/>
                <w:sz w:val="17"/>
                <w:szCs w:val="17"/>
                <w:b w:val="1"/>
                <w:bCs w:val="1"/>
                <w:color w:val="auto"/>
                <w:vertAlign w:val="superscript"/>
              </w:rPr>
              <w:t>(1)</w:t>
            </w:r>
          </w:p>
        </w:tc>
        <w:tc>
          <w:tcPr>
            <w:tcW w:w="1420" w:type="dxa"/>
            <w:vAlign w:val="bottom"/>
            <w:tcBorders>
              <w:bottom w:val="single" w:sz="8" w:color="2C6937"/>
            </w:tcBorders>
          </w:tcPr>
          <w:p>
            <w:pPr>
              <w:jc w:val="center"/>
              <w:ind w:left="71"/>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8"/>
                <w:szCs w:val="8"/>
                <w:b w:val="1"/>
                <w:bCs w:val="1"/>
                <w:color w:val="auto"/>
              </w:rPr>
              <w:t>(1)(2)</w:t>
            </w:r>
          </w:p>
        </w:tc>
        <w:tc>
          <w:tcPr>
            <w:tcW w:w="0" w:type="dxa"/>
            <w:vAlign w:val="bottom"/>
          </w:tcPr>
          <w:p>
            <w:pPr>
              <w:spacing w:after="0"/>
              <w:rPr>
                <w:sz w:val="1"/>
                <w:szCs w:val="1"/>
                <w:color w:val="auto"/>
              </w:rPr>
            </w:pPr>
          </w:p>
        </w:tc>
      </w:tr>
      <w:tr>
        <w:trPr>
          <w:trHeight w:val="185"/>
        </w:trPr>
        <w:tc>
          <w:tcPr>
            <w:tcW w:w="10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60" w:type="dxa"/>
            <w:vAlign w:val="bottom"/>
          </w:tcPr>
          <w:p>
            <w:pPr>
              <w:ind w:left="200"/>
              <w:spacing w:after="0"/>
              <w:rPr>
                <w:sz w:val="20"/>
                <w:szCs w:val="20"/>
                <w:color w:val="auto"/>
              </w:rPr>
            </w:pPr>
            <w:r>
              <w:rPr>
                <w:rFonts w:ascii="Arial" w:cs="Arial" w:eastAsia="Arial" w:hAnsi="Arial"/>
                <w:sz w:val="14"/>
                <w:szCs w:val="14"/>
                <w:b w:val="1"/>
                <w:bCs w:val="1"/>
                <w:color w:val="auto"/>
              </w:rPr>
              <w:t>(Dollars in millions)</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760" w:hanging="728"/>
        <w:spacing w:after="0"/>
        <w:tabs>
          <w:tab w:leader="none" w:pos="76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32  Various</w:t>
      </w:r>
    </w:p>
    <w:p>
      <w:pPr>
        <w:spacing w:after="0" w:line="329"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4"/>
          <w:szCs w:val="14"/>
          <w:color w:val="auto"/>
        </w:rPr>
        <w:t>315</w:t>
      </w:r>
      <w:r>
        <w:rPr>
          <w:sz w:val="20"/>
          <w:szCs w:val="20"/>
          <w:color w:val="auto"/>
        </w:rPr>
        <w:tab/>
      </w:r>
      <w:r>
        <w:rPr>
          <w:rFonts w:ascii="Arial" w:cs="Arial" w:eastAsia="Arial" w:hAnsi="Arial"/>
          <w:sz w:val="13"/>
          <w:szCs w:val="13"/>
          <w:color w:val="auto"/>
        </w:rPr>
        <w:t>Consensus</w:t>
      </w:r>
    </w:p>
    <w:p>
      <w:pPr>
        <w:spacing w:after="0" w:line="58" w:lineRule="exact"/>
        <w:rPr>
          <w:sz w:val="20"/>
          <w:szCs w:val="20"/>
          <w:color w:val="auto"/>
        </w:rPr>
      </w:pPr>
    </w:p>
    <w:p>
      <w:pPr>
        <w:ind w:left="760"/>
        <w:spacing w:after="0"/>
        <w:tabs>
          <w:tab w:leader="none" w:pos="1080" w:val="left"/>
          <w:tab w:leader="none" w:pos="3100" w:val="left"/>
          <w:tab w:leader="none" w:pos="4920" w:val="left"/>
          <w:tab w:leader="none" w:pos="6640" w:val="left"/>
        </w:tabs>
        <w:rPr>
          <w:sz w:val="20"/>
          <w:szCs w:val="20"/>
          <w:color w:val="auto"/>
        </w:rPr>
      </w:pPr>
      <w:r>
        <w:rPr>
          <w:rFonts w:ascii="Arial" w:cs="Arial" w:eastAsia="Arial" w:hAnsi="Arial"/>
          <w:sz w:val="14"/>
          <w:szCs w:val="14"/>
          <w:color w:val="auto"/>
        </w:rPr>
        <w:t>52</w:t>
        <w:tab/>
        <w:t>Discounted Cash Flow</w:t>
      </w:r>
      <w:r>
        <w:rPr>
          <w:sz w:val="20"/>
          <w:szCs w:val="20"/>
          <w:color w:val="auto"/>
        </w:rPr>
        <w:tab/>
      </w:r>
      <w:r>
        <w:rPr>
          <w:rFonts w:ascii="Arial" w:cs="Arial" w:eastAsia="Arial" w:hAnsi="Arial"/>
          <w:sz w:val="14"/>
          <w:szCs w:val="14"/>
          <w:color w:val="auto"/>
        </w:rPr>
        <w:t>Spreads (bps)</w:t>
      </w:r>
      <w:r>
        <w:rPr>
          <w:sz w:val="20"/>
          <w:szCs w:val="20"/>
          <w:color w:val="auto"/>
        </w:rPr>
        <w:tab/>
      </w:r>
      <w:r>
        <w:rPr>
          <w:rFonts w:ascii="Arial" w:cs="Arial" w:eastAsia="Arial" w:hAnsi="Arial"/>
          <w:sz w:val="14"/>
          <w:szCs w:val="14"/>
          <w:color w:val="auto"/>
        </w:rPr>
        <w:t>478.0 - 508.0</w:t>
      </w:r>
      <w:r>
        <w:rPr>
          <w:sz w:val="20"/>
          <w:szCs w:val="20"/>
          <w:color w:val="auto"/>
        </w:rPr>
        <w:tab/>
      </w:r>
      <w:r>
        <w:rPr>
          <w:rFonts w:ascii="Arial" w:cs="Arial" w:eastAsia="Arial" w:hAnsi="Arial"/>
          <w:sz w:val="13"/>
          <w:szCs w:val="13"/>
          <w:color w:val="auto"/>
        </w:rPr>
        <w:t>492.5</w:t>
      </w:r>
    </w:p>
    <w:p>
      <w:pPr>
        <w:spacing w:after="0" w:line="32" w:lineRule="exact"/>
        <w:rPr>
          <w:sz w:val="20"/>
          <w:szCs w:val="20"/>
          <w:color w:val="auto"/>
        </w:rPr>
      </w:pPr>
    </w:p>
    <w:p>
      <w:pPr>
        <w:ind w:left="1100" w:hanging="258"/>
        <w:spacing w:after="0"/>
        <w:tabs>
          <w:tab w:leader="none" w:pos="110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Single Vendor</w:t>
      </w:r>
    </w:p>
    <w:p>
      <w:pPr>
        <w:spacing w:after="0" w:line="32"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92  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61404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61404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680" w:hanging="648"/>
        <w:spacing w:after="0"/>
        <w:tabs>
          <w:tab w:leader="none" w:pos="6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61404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41910</wp:posOffset>
            </wp:positionV>
            <wp:extent cx="61404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116" w:lineRule="exact"/>
        <w:rPr>
          <w:sz w:val="20"/>
          <w:szCs w:val="20"/>
          <w:color w:val="auto"/>
        </w:rPr>
      </w:pPr>
    </w:p>
    <w:p>
      <w:pPr>
        <w:ind w:left="760" w:hanging="728"/>
        <w:spacing w:after="0"/>
        <w:tabs>
          <w:tab w:leader="none" w:pos="76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43  Dealer Mark</w:t>
      </w:r>
    </w:p>
    <w:p>
      <w:pPr>
        <w:spacing w:after="0" w:line="32"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51  Discounted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61404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760" w:hanging="728"/>
        <w:spacing w:after="0"/>
        <w:tabs>
          <w:tab w:leader="none" w:pos="76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61404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41910</wp:posOffset>
            </wp:positionV>
            <wp:extent cx="61404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242"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Fair Value Measurements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477266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772660"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820" w:type="dxa"/>
            <w:vAlign w:val="bottom"/>
            <w:vMerge w:val="restart"/>
          </w:tcPr>
          <w:p>
            <w:pPr>
              <w:jc w:val="center"/>
              <w:ind w:left="11"/>
              <w:spacing w:after="0"/>
              <w:rPr>
                <w:sz w:val="20"/>
                <w:szCs w:val="20"/>
                <w:color w:val="auto"/>
              </w:rPr>
            </w:pPr>
            <w:r>
              <w:rPr>
                <w:rFonts w:ascii="Arial" w:cs="Arial" w:eastAsia="Arial" w:hAnsi="Arial"/>
                <w:sz w:val="14"/>
                <w:szCs w:val="14"/>
                <w:b w:val="1"/>
                <w:bCs w:val="1"/>
                <w:color w:val="auto"/>
                <w:w w:val="96"/>
              </w:rPr>
              <w:t>Significant Valuation</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7"/>
              </w:rPr>
              <w:t>Significant</w:t>
            </w:r>
          </w:p>
        </w:tc>
        <w:tc>
          <w:tcPr>
            <w:tcW w:w="1320" w:type="dxa"/>
            <w:vAlign w:val="bottom"/>
          </w:tcPr>
          <w:p>
            <w:pPr>
              <w:spacing w:after="0"/>
              <w:rPr>
                <w:sz w:val="14"/>
                <w:szCs w:val="14"/>
                <w:color w:val="auto"/>
              </w:rPr>
            </w:pPr>
          </w:p>
        </w:tc>
        <w:tc>
          <w:tcPr>
            <w:tcW w:w="1400" w:type="dxa"/>
            <w:vAlign w:val="bottom"/>
            <w:vMerge w:val="restart"/>
          </w:tcPr>
          <w:p>
            <w:pPr>
              <w:jc w:val="center"/>
              <w:ind w:left="71"/>
              <w:spacing w:after="0"/>
              <w:rPr>
                <w:sz w:val="20"/>
                <w:szCs w:val="20"/>
                <w:color w:val="auto"/>
              </w:rPr>
            </w:pPr>
            <w:r>
              <w:rPr>
                <w:rFonts w:ascii="Arial" w:cs="Arial" w:eastAsia="Arial" w:hAnsi="Arial"/>
                <w:sz w:val="14"/>
                <w:szCs w:val="14"/>
                <w:b w:val="1"/>
                <w:bCs w:val="1"/>
                <w:color w:val="auto"/>
                <w:w w:val="97"/>
              </w:rPr>
              <w:t>Weighted -</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Unobservable</w:t>
            </w:r>
          </w:p>
        </w:tc>
        <w:tc>
          <w:tcPr>
            <w:tcW w:w="13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00" w:type="dxa"/>
            <w:vAlign w:val="bottom"/>
            <w:tcBorders>
              <w:bottom w:val="single" w:sz="8" w:color="2C6937"/>
            </w:tcBorders>
          </w:tcPr>
          <w:p>
            <w:pPr>
              <w:ind w:left="160"/>
              <w:spacing w:after="0"/>
              <w:rPr>
                <w:sz w:val="20"/>
                <w:szCs w:val="20"/>
                <w:color w:val="auto"/>
              </w:rPr>
            </w:pPr>
            <w:r>
              <w:rPr>
                <w:rFonts w:ascii="Arial" w:cs="Arial" w:eastAsia="Arial" w:hAnsi="Arial"/>
                <w:sz w:val="14"/>
                <w:szCs w:val="14"/>
                <w:b w:val="1"/>
                <w:bCs w:val="1"/>
                <w:color w:val="auto"/>
              </w:rPr>
              <w:t>Fair Value</w:t>
            </w:r>
          </w:p>
        </w:tc>
        <w:tc>
          <w:tcPr>
            <w:tcW w:w="18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7"/>
              </w:rPr>
              <w:t>Techniques</w:t>
            </w:r>
          </w:p>
        </w:tc>
        <w:tc>
          <w:tcPr>
            <w:tcW w:w="18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Inputs</w:t>
            </w:r>
            <w:r>
              <w:rPr>
                <w:rFonts w:ascii="Arial" w:cs="Arial" w:eastAsia="Arial" w:hAnsi="Arial"/>
                <w:sz w:val="17"/>
                <w:szCs w:val="17"/>
                <w:b w:val="1"/>
                <w:bCs w:val="1"/>
                <w:color w:val="auto"/>
                <w:w w:val="96"/>
                <w:vertAlign w:val="superscript"/>
              </w:rPr>
              <w:t>(1)</w:t>
            </w:r>
          </w:p>
        </w:tc>
        <w:tc>
          <w:tcPr>
            <w:tcW w:w="1320" w:type="dxa"/>
            <w:vAlign w:val="bottom"/>
            <w:tcBorders>
              <w:bottom w:val="single" w:sz="8" w:color="2C6937"/>
            </w:tcBorders>
          </w:tcPr>
          <w:p>
            <w:pPr>
              <w:ind w:left="400"/>
              <w:spacing w:after="0"/>
              <w:rPr>
                <w:sz w:val="20"/>
                <w:szCs w:val="20"/>
                <w:color w:val="auto"/>
              </w:rPr>
            </w:pPr>
            <w:r>
              <w:rPr>
                <w:rFonts w:ascii="Arial" w:cs="Arial" w:eastAsia="Arial" w:hAnsi="Arial"/>
                <w:sz w:val="14"/>
                <w:szCs w:val="14"/>
                <w:b w:val="1"/>
                <w:bCs w:val="1"/>
                <w:color w:val="auto"/>
              </w:rPr>
              <w:t>Range</w:t>
            </w:r>
            <w:r>
              <w:rPr>
                <w:rFonts w:ascii="Arial" w:cs="Arial" w:eastAsia="Arial" w:hAnsi="Arial"/>
                <w:sz w:val="17"/>
                <w:szCs w:val="17"/>
                <w:b w:val="1"/>
                <w:bCs w:val="1"/>
                <w:color w:val="auto"/>
                <w:vertAlign w:val="superscript"/>
              </w:rPr>
              <w:t>(1)</w:t>
            </w:r>
          </w:p>
        </w:tc>
        <w:tc>
          <w:tcPr>
            <w:tcW w:w="1400" w:type="dxa"/>
            <w:vAlign w:val="bottom"/>
            <w:tcBorders>
              <w:bottom w:val="single" w:sz="8" w:color="2C6937"/>
            </w:tcBorders>
          </w:tcPr>
          <w:p>
            <w:pPr>
              <w:jc w:val="center"/>
              <w:ind w:left="51"/>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8"/>
                <w:szCs w:val="8"/>
                <w:b w:val="1"/>
                <w:bCs w:val="1"/>
                <w:color w:val="auto"/>
              </w:rPr>
              <w:t>(1)(2)</w:t>
            </w:r>
          </w:p>
        </w:tc>
        <w:tc>
          <w:tcPr>
            <w:tcW w:w="0" w:type="dxa"/>
            <w:vAlign w:val="bottom"/>
          </w:tcPr>
          <w:p>
            <w:pPr>
              <w:spacing w:after="0"/>
              <w:rPr>
                <w:sz w:val="1"/>
                <w:szCs w:val="1"/>
                <w:color w:val="auto"/>
              </w:rPr>
            </w:pPr>
          </w:p>
        </w:tc>
      </w:tr>
      <w:tr>
        <w:trPr>
          <w:trHeight w:val="185"/>
        </w:trPr>
        <w:tc>
          <w:tcPr>
            <w:tcW w:w="1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80" w:type="dxa"/>
            <w:vAlign w:val="bottom"/>
          </w:tcPr>
          <w:p>
            <w:pPr>
              <w:ind w:left="200"/>
              <w:spacing w:after="0"/>
              <w:rPr>
                <w:sz w:val="20"/>
                <w:szCs w:val="20"/>
                <w:color w:val="auto"/>
              </w:rPr>
            </w:pPr>
            <w:r>
              <w:rPr>
                <w:rFonts w:ascii="Arial" w:cs="Arial" w:eastAsia="Arial" w:hAnsi="Arial"/>
                <w:sz w:val="14"/>
                <w:szCs w:val="14"/>
                <w:b w:val="1"/>
                <w:bCs w:val="1"/>
                <w:color w:val="auto"/>
              </w:rPr>
              <w:t>(Dollars in millions)</w:t>
            </w: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760" w:hanging="734"/>
        <w:spacing w:after="0"/>
        <w:tabs>
          <w:tab w:leader="none" w:pos="76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26  Various</w:t>
      </w:r>
    </w:p>
    <w:p>
      <w:pPr>
        <w:spacing w:after="0" w:line="329"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4"/>
          <w:szCs w:val="14"/>
          <w:color w:val="auto"/>
        </w:rPr>
        <w:t>331</w:t>
      </w:r>
      <w:r>
        <w:rPr>
          <w:sz w:val="20"/>
          <w:szCs w:val="20"/>
          <w:color w:val="auto"/>
        </w:rPr>
        <w:tab/>
      </w:r>
      <w:r>
        <w:rPr>
          <w:rFonts w:ascii="Arial" w:cs="Arial" w:eastAsia="Arial" w:hAnsi="Arial"/>
          <w:sz w:val="13"/>
          <w:szCs w:val="13"/>
          <w:color w:val="auto"/>
        </w:rPr>
        <w:t>Consensus</w:t>
      </w:r>
    </w:p>
    <w:p>
      <w:pPr>
        <w:spacing w:after="0" w:line="58" w:lineRule="exact"/>
        <w:rPr>
          <w:sz w:val="20"/>
          <w:szCs w:val="20"/>
          <w:color w:val="auto"/>
        </w:rPr>
      </w:pPr>
    </w:p>
    <w:p>
      <w:pPr>
        <w:jc w:val="right"/>
        <w:ind w:right="460"/>
        <w:spacing w:after="0"/>
        <w:tabs>
          <w:tab w:leader="none" w:pos="6400" w:val="left"/>
          <w:tab w:leader="none" w:pos="4360" w:val="left"/>
          <w:tab w:leader="none" w:pos="2520" w:val="left"/>
          <w:tab w:leader="none" w:pos="780" w:val="left"/>
        </w:tabs>
        <w:rPr>
          <w:sz w:val="20"/>
          <w:szCs w:val="20"/>
          <w:color w:val="auto"/>
        </w:rPr>
      </w:pPr>
      <w:r>
        <w:rPr>
          <w:rFonts w:ascii="Arial" w:cs="Arial" w:eastAsia="Arial" w:hAnsi="Arial"/>
          <w:sz w:val="14"/>
          <w:szCs w:val="14"/>
          <w:color w:val="auto"/>
        </w:rPr>
        <w:t>74</w:t>
        <w:tab/>
        <w:t>Discounted Cash Flow</w:t>
      </w:r>
      <w:r>
        <w:rPr>
          <w:sz w:val="20"/>
          <w:szCs w:val="20"/>
          <w:color w:val="auto"/>
        </w:rPr>
        <w:tab/>
      </w:r>
      <w:r>
        <w:rPr>
          <w:rFonts w:ascii="Arial" w:cs="Arial" w:eastAsia="Arial" w:hAnsi="Arial"/>
          <w:sz w:val="14"/>
          <w:szCs w:val="14"/>
          <w:color w:val="auto"/>
        </w:rPr>
        <w:t>Spreads (bps)</w:t>
      </w:r>
      <w:r>
        <w:rPr>
          <w:sz w:val="20"/>
          <w:szCs w:val="20"/>
          <w:color w:val="auto"/>
        </w:rPr>
        <w:tab/>
      </w:r>
      <w:r>
        <w:rPr>
          <w:rFonts w:ascii="Arial" w:cs="Arial" w:eastAsia="Arial" w:hAnsi="Arial"/>
          <w:sz w:val="14"/>
          <w:szCs w:val="14"/>
          <w:color w:val="auto"/>
        </w:rPr>
        <w:t>530.0 - 560.0</w:t>
      </w:r>
      <w:r>
        <w:rPr>
          <w:sz w:val="20"/>
          <w:szCs w:val="20"/>
          <w:color w:val="auto"/>
        </w:rPr>
        <w:tab/>
      </w:r>
      <w:r>
        <w:rPr>
          <w:rFonts w:ascii="Arial" w:cs="Arial" w:eastAsia="Arial" w:hAnsi="Arial"/>
          <w:sz w:val="13"/>
          <w:szCs w:val="13"/>
          <w:color w:val="auto"/>
        </w:rPr>
        <w:t>544.8</w:t>
      </w:r>
    </w:p>
    <w:p>
      <w:pPr>
        <w:spacing w:after="0" w:line="32" w:lineRule="exact"/>
        <w:rPr>
          <w:sz w:val="20"/>
          <w:szCs w:val="20"/>
          <w:color w:val="auto"/>
        </w:rPr>
      </w:pPr>
    </w:p>
    <w:p>
      <w:pPr>
        <w:ind w:left="1100" w:hanging="264"/>
        <w:spacing w:after="0"/>
        <w:tabs>
          <w:tab w:leader="none" w:pos="110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Single Vendor</w:t>
      </w:r>
    </w:p>
    <w:p>
      <w:pPr>
        <w:spacing w:after="0" w:line="32" w:lineRule="exact"/>
        <w:rPr>
          <w:rFonts w:ascii="Arial" w:cs="Arial" w:eastAsia="Arial" w:hAnsi="Arial"/>
          <w:sz w:val="14"/>
          <w:szCs w:val="14"/>
          <w:color w:val="auto"/>
        </w:rPr>
      </w:pPr>
    </w:p>
    <w:p>
      <w:pPr>
        <w:ind w:left="680"/>
        <w:spacing w:after="0"/>
        <w:rPr>
          <w:rFonts w:ascii="Arial" w:cs="Arial" w:eastAsia="Arial" w:hAnsi="Arial"/>
          <w:sz w:val="14"/>
          <w:szCs w:val="14"/>
          <w:color w:val="auto"/>
        </w:rPr>
      </w:pPr>
      <w:r>
        <w:rPr>
          <w:rFonts w:ascii="Arial" w:cs="Arial" w:eastAsia="Arial" w:hAnsi="Arial"/>
          <w:sz w:val="14"/>
          <w:szCs w:val="14"/>
          <w:color w:val="auto"/>
        </w:rPr>
        <w:t>100  Various</w:t>
      </w:r>
    </w:p>
    <w:p>
      <w:pPr>
        <w:spacing w:after="0" w:line="71" w:lineRule="exact"/>
        <w:rPr>
          <w:rFonts w:ascii="Arial" w:cs="Arial" w:eastAsia="Arial" w:hAnsi="Arial"/>
          <w:sz w:val="14"/>
          <w:szCs w:val="14"/>
          <w:color w:val="auto"/>
        </w:rPr>
      </w:pPr>
    </w:p>
    <w:p>
      <w:pPr>
        <w:ind w:left="680"/>
        <w:spacing w:after="0"/>
        <w:rPr>
          <w:rFonts w:ascii="Arial" w:cs="Arial" w:eastAsia="Arial" w:hAnsi="Arial"/>
          <w:sz w:val="14"/>
          <w:szCs w:val="14"/>
          <w:color w:val="auto"/>
        </w:rPr>
      </w:pPr>
      <w:r>
        <w:rPr>
          <w:rFonts w:ascii="Arial" w:cs="Arial" w:eastAsia="Arial" w:hAnsi="Arial"/>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1404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-129540</wp:posOffset>
            </wp:positionV>
            <wp:extent cx="61404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680" w:hanging="654"/>
        <w:spacing w:after="0"/>
        <w:tabs>
          <w:tab w:leader="none" w:pos="6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1404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41910</wp:posOffset>
            </wp:positionV>
            <wp:extent cx="61404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116" w:lineRule="exact"/>
        <w:rPr>
          <w:sz w:val="20"/>
          <w:szCs w:val="20"/>
          <w:color w:val="auto"/>
        </w:rPr>
      </w:pPr>
    </w:p>
    <w:p>
      <w:pPr>
        <w:ind w:left="760" w:hanging="734"/>
        <w:spacing w:after="0"/>
        <w:tabs>
          <w:tab w:leader="none" w:pos="7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45  Dealer Mark</w:t>
      </w:r>
    </w:p>
    <w:p>
      <w:pPr>
        <w:spacing w:after="0" w:line="32"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32  Discounted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1404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760" w:hanging="734"/>
        <w:spacing w:after="0"/>
        <w:tabs>
          <w:tab w:leader="none" w:pos="76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1404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41910</wp:posOffset>
            </wp:positionV>
            <wp:extent cx="61404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3000" w:space="720"/>
            <w:col w:w="7520"/>
          </w:cols>
          <w:pgMar w:left="320" w:top="248" w:right="339" w:bottom="1440" w:gutter="0" w:footer="0" w:header="0"/>
          <w:type w:val="continuous"/>
        </w:sectPr>
      </w:pPr>
    </w:p>
    <w:p>
      <w:pPr>
        <w:ind w:left="240" w:right="80" w:hanging="237"/>
        <w:spacing w:after="0" w:line="264" w:lineRule="auto"/>
        <w:tabs>
          <w:tab w:leader="none" w:pos="233" w:val="left"/>
        </w:tabs>
        <w:numPr>
          <w:ilvl w:val="0"/>
          <w:numId w:val="136"/>
        </w:numPr>
        <w:rPr>
          <w:rFonts w:ascii="Arial" w:cs="Arial" w:eastAsia="Arial" w:hAnsi="Arial"/>
          <w:sz w:val="9"/>
          <w:szCs w:val="9"/>
          <w:color w:val="auto"/>
        </w:rPr>
      </w:pPr>
      <w:r>
        <w:rPr>
          <w:rFonts w:ascii="Arial" w:cs="Arial" w:eastAsia="Arial" w:hAnsi="Arial"/>
          <w:sz w:val="14"/>
          <w:szCs w:val="14"/>
          <w:color w:val="auto"/>
        </w:rPr>
        <w:t>Valuation techniques for which no unobservable inputs are disclosed generally reflect the use of third-party pricing services or dealers, and the range of unobservable inputs applied by these sources is not readily available or cannot be reasonably estimated. Where we have disclosed unobservable inputs for consensus and single vendor techniques, those inputs are based on our validations performed at the security level using discounted cash flows.</w:t>
      </w:r>
    </w:p>
    <w:p>
      <w:pPr>
        <w:ind w:left="220" w:hanging="217"/>
        <w:spacing w:after="0"/>
        <w:tabs>
          <w:tab w:leader="none" w:pos="220" w:val="left"/>
        </w:tabs>
        <w:numPr>
          <w:ilvl w:val="0"/>
          <w:numId w:val="136"/>
        </w:numPr>
        <w:rPr>
          <w:rFonts w:ascii="Arial" w:cs="Arial" w:eastAsia="Arial" w:hAnsi="Arial"/>
          <w:sz w:val="18"/>
          <w:szCs w:val="18"/>
          <w:color w:val="auto"/>
          <w:vertAlign w:val="superscript"/>
        </w:rPr>
      </w:pPr>
      <w:r>
        <w:rPr>
          <w:rFonts w:ascii="Arial" w:cs="Arial" w:eastAsia="Arial" w:hAnsi="Arial"/>
          <w:sz w:val="14"/>
          <w:szCs w:val="14"/>
          <w:color w:val="auto"/>
        </w:rPr>
        <w:t>Unobservable inputs were weighted by the relative fair value of the instruments.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136"/>
        </w:numPr>
        <w:rPr>
          <w:rFonts w:ascii="Arial" w:cs="Arial" w:eastAsia="Arial" w:hAnsi="Arial"/>
          <w:sz w:val="18"/>
          <w:szCs w:val="18"/>
          <w:color w:val="auto"/>
          <w:vertAlign w:val="superscript"/>
        </w:rPr>
      </w:pPr>
      <w:r>
        <w:rPr>
          <w:rFonts w:ascii="Arial" w:cs="Arial" w:eastAsia="Arial" w:hAnsi="Arial"/>
          <w:sz w:val="14"/>
          <w:szCs w:val="14"/>
          <w:color w:val="auto"/>
        </w:rPr>
        <w:t>Includes Fannie Mae and Freddie Mac securities.</w:t>
      </w:r>
    </w:p>
    <w:p>
      <w:pPr>
        <w:spacing w:after="0" w:line="53" w:lineRule="exact"/>
        <w:rPr>
          <w:sz w:val="20"/>
          <w:szCs w:val="20"/>
          <w:color w:val="auto"/>
        </w:rPr>
      </w:pPr>
    </w:p>
    <w:p>
      <w:pPr>
        <w:jc w:val="both"/>
        <w:ind w:right="80"/>
        <w:spacing w:after="0" w:line="257" w:lineRule="auto"/>
        <w:rPr>
          <w:sz w:val="20"/>
          <w:szCs w:val="20"/>
          <w:color w:val="auto"/>
        </w:rPr>
      </w:pPr>
      <w:r>
        <w:rPr>
          <w:rFonts w:ascii="Arial" w:cs="Arial" w:eastAsia="Arial" w:hAnsi="Arial"/>
          <w:sz w:val="16"/>
          <w:szCs w:val="16"/>
          <w:color w:val="auto"/>
        </w:rPr>
        <w:t>In our condensed consolidated balance sheets, certain assets and liabilities are measured at fair value on a nonrecurring basis; that is, the instruments are not measured at fair value on an ongoing basis but are subject to fair value adjustments in certain circumstances (for example, when we evaluate loans for impairment). We held no Level 1 assets or liabilities that were measured at fair value on a nonrecurring basis as of June 30, 2024 or December 31, 2023.</w:t>
      </w:r>
    </w:p>
    <w:p>
      <w:pPr>
        <w:spacing w:after="0" w:line="2" w:lineRule="exact"/>
        <w:rPr>
          <w:sz w:val="20"/>
          <w:szCs w:val="20"/>
          <w:color w:val="auto"/>
        </w:rPr>
      </w:pPr>
    </w:p>
    <w:p>
      <w:pPr>
        <w:jc w:val="both"/>
        <w:ind w:right="60"/>
        <w:spacing w:after="0" w:line="262" w:lineRule="auto"/>
        <w:rPr>
          <w:sz w:val="20"/>
          <w:szCs w:val="20"/>
          <w:color w:val="auto"/>
        </w:rPr>
      </w:pPr>
      <w:r>
        <w:rPr>
          <w:rFonts w:ascii="Arial" w:cs="Arial" w:eastAsia="Arial" w:hAnsi="Arial"/>
          <w:sz w:val="16"/>
          <w:szCs w:val="16"/>
          <w:color w:val="auto"/>
        </w:rPr>
        <w:t>We held $35 million and $42 million in Level 2 assets as of June 30, 2024 and December 31, 2023, respectively, composed of mortgage loans held for sale that were impaired. We held no Level 2 or Level 3 liabilities that were measured at fair value on a nonrecurring basis as of June 30, 2024 or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366395</wp:posOffset>
            </wp:positionV>
            <wp:extent cx="680593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10" w:name="page111"/>
    <w:bookmarkEnd w:id="110"/>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valuation techniques for our Level 3 assets measured at fair value on a nonrecurring basis.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2640" w:type="dxa"/>
            <w:vAlign w:val="bottom"/>
            <w:tcBorders>
              <w:bottom w:val="single" w:sz="8" w:color="2C6937"/>
            </w:tcBorders>
            <w:gridSpan w:val="4"/>
          </w:tcPr>
          <w:p>
            <w:pPr>
              <w:jc w:val="center"/>
              <w:ind w:right="83"/>
              <w:spacing w:after="0"/>
              <w:rPr>
                <w:sz w:val="20"/>
                <w:szCs w:val="20"/>
                <w:color w:val="auto"/>
              </w:rPr>
            </w:pPr>
            <w:r>
              <w:rPr>
                <w:rFonts w:ascii="Arial" w:cs="Arial" w:eastAsia="Arial" w:hAnsi="Arial"/>
                <w:sz w:val="14"/>
                <w:szCs w:val="14"/>
                <w:b w:val="1"/>
                <w:bCs w:val="1"/>
                <w:color w:val="auto"/>
                <w:w w:val="97"/>
              </w:rPr>
              <w:t>Fair Value Measurements as of</w:t>
            </w:r>
          </w:p>
        </w:tc>
      </w:tr>
      <w:tr>
        <w:trPr>
          <w:trHeight w:val="187"/>
        </w:trPr>
        <w:tc>
          <w:tcPr>
            <w:tcW w:w="6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gridSpan w:val="2"/>
          </w:tcPr>
          <w:p>
            <w:pPr>
              <w:ind w:left="300"/>
              <w:spacing w:after="0"/>
              <w:rPr>
                <w:sz w:val="20"/>
                <w:szCs w:val="20"/>
                <w:color w:val="auto"/>
              </w:rPr>
            </w:pPr>
            <w:r>
              <w:rPr>
                <w:rFonts w:ascii="Arial" w:cs="Arial" w:eastAsia="Arial" w:hAnsi="Arial"/>
                <w:sz w:val="14"/>
                <w:szCs w:val="14"/>
                <w:b w:val="1"/>
                <w:bCs w:val="1"/>
                <w:color w:val="auto"/>
              </w:rPr>
              <w:t>Valuation Techniques</w:t>
            </w:r>
          </w:p>
        </w:tc>
        <w:tc>
          <w:tcPr>
            <w:tcW w:w="16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2024</w:t>
            </w: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December 31, 2023</w:t>
            </w:r>
          </w:p>
        </w:tc>
      </w:tr>
      <w:tr>
        <w:trPr>
          <w:trHeight w:val="185"/>
        </w:trPr>
        <w:tc>
          <w:tcPr>
            <w:tcW w:w="6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2C6937"/>
            </w:tcBorders>
          </w:tcPr>
          <w:p>
            <w:pPr>
              <w:spacing w:after="0"/>
              <w:rPr>
                <w:sz w:val="16"/>
                <w:szCs w:val="16"/>
                <w:color w:val="auto"/>
              </w:rPr>
            </w:pPr>
          </w:p>
        </w:tc>
        <w:tc>
          <w:tcPr>
            <w:tcW w:w="2040" w:type="dxa"/>
            <w:vAlign w:val="bottom"/>
            <w:tcBorders>
              <w:top w:val="single" w:sz="8" w:color="2C6937"/>
            </w:tcBorders>
            <w:gridSpan w:val="3"/>
          </w:tcPr>
          <w:p>
            <w:pPr>
              <w:jc w:val="center"/>
              <w:ind w:left="364"/>
              <w:spacing w:after="0"/>
              <w:rPr>
                <w:sz w:val="20"/>
                <w:szCs w:val="20"/>
                <w:color w:val="auto"/>
              </w:rPr>
            </w:pPr>
            <w:r>
              <w:rPr>
                <w:rFonts w:ascii="Arial" w:cs="Arial" w:eastAsia="Arial" w:hAnsi="Arial"/>
                <w:sz w:val="14"/>
                <w:szCs w:val="14"/>
                <w:b w:val="1"/>
                <w:bCs w:val="1"/>
                <w:color w:val="auto"/>
                <w:w w:val="98"/>
              </w:rPr>
              <w:t>(Dollars in millions)</w:t>
            </w:r>
          </w:p>
        </w:tc>
        <w:tc>
          <w:tcPr>
            <w:tcW w:w="600" w:type="dxa"/>
            <w:vAlign w:val="bottom"/>
            <w:tcBorders>
              <w:top w:val="single" w:sz="8" w:color="2C6937"/>
            </w:tcBorders>
          </w:tcPr>
          <w:p>
            <w:pPr>
              <w:spacing w:after="0"/>
              <w:rPr>
                <w:sz w:val="16"/>
                <w:szCs w:val="16"/>
                <w:color w:val="auto"/>
              </w:rPr>
            </w:pPr>
          </w:p>
        </w:tc>
      </w:tr>
      <w:tr>
        <w:trPr>
          <w:trHeight w:val="209"/>
        </w:trPr>
        <w:tc>
          <w:tcPr>
            <w:tcW w:w="6320" w:type="dxa"/>
            <w:vAlign w:val="bottom"/>
            <w:gridSpan w:val="2"/>
          </w:tcPr>
          <w:p>
            <w:pPr>
              <w:ind w:left="20"/>
              <w:spacing w:after="0"/>
              <w:rPr>
                <w:sz w:val="20"/>
                <w:szCs w:val="20"/>
                <w:color w:val="auto"/>
              </w:rPr>
            </w:pPr>
            <w:r>
              <w:rPr>
                <w:rFonts w:ascii="Arial" w:cs="Arial" w:eastAsia="Arial" w:hAnsi="Arial"/>
                <w:sz w:val="15"/>
                <w:szCs w:val="15"/>
                <w:b w:val="1"/>
                <w:bCs w:val="1"/>
                <w:color w:val="auto"/>
              </w:rPr>
              <w:t>Nonrecurring fair value measurements: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6320" w:type="dxa"/>
            <w:vAlign w:val="bottom"/>
            <w:gridSpan w:val="2"/>
          </w:tcPr>
          <w:p>
            <w:pPr>
              <w:ind w:left="20"/>
              <w:spacing w:after="0" w:line="219" w:lineRule="exact"/>
              <w:rPr>
                <w:sz w:val="20"/>
                <w:szCs w:val="20"/>
                <w:color w:val="auto"/>
              </w:rPr>
            </w:pPr>
            <w:r>
              <w:rPr>
                <w:rFonts w:ascii="Arial" w:cs="Arial" w:eastAsia="Arial" w:hAnsi="Arial"/>
                <w:sz w:val="15"/>
                <w:szCs w:val="15"/>
                <w:color w:val="auto"/>
              </w:rPr>
              <w:t>Mortgage loans:</w:t>
            </w:r>
            <w:r>
              <w:rPr>
                <w:rFonts w:ascii="Arial" w:cs="Arial" w:eastAsia="Arial" w:hAnsi="Arial"/>
                <w:sz w:val="20"/>
                <w:szCs w:val="20"/>
                <w:color w:val="auto"/>
                <w:vertAlign w:val="superscript"/>
              </w:rPr>
              <w:t>(1)</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5"/>
        </w:trPr>
        <w:tc>
          <w:tcPr>
            <w:tcW w:w="6320" w:type="dxa"/>
            <w:vAlign w:val="bottom"/>
            <w:gridSpan w:val="2"/>
          </w:tcPr>
          <w:p>
            <w:pPr>
              <w:ind w:left="100"/>
              <w:spacing w:after="0"/>
              <w:rPr>
                <w:sz w:val="20"/>
                <w:szCs w:val="20"/>
                <w:color w:val="auto"/>
              </w:rPr>
            </w:pPr>
            <w:r>
              <w:rPr>
                <w:rFonts w:ascii="Arial" w:cs="Arial" w:eastAsia="Arial" w:hAnsi="Arial"/>
                <w:sz w:val="15"/>
                <w:szCs w:val="15"/>
                <w:color w:val="auto"/>
              </w:rPr>
              <w:t>Mortgage loans held for sale, at lower of cost or fair value</w:t>
            </w: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Consensus</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208</w:t>
            </w:r>
          </w:p>
        </w:tc>
        <w:tc>
          <w:tcPr>
            <w:tcW w:w="200" w:type="dxa"/>
            <w:vAlign w:val="bottom"/>
          </w:tcPr>
          <w:p>
            <w:pPr>
              <w:spacing w:after="0"/>
              <w:rPr>
                <w:sz w:val="19"/>
                <w:szCs w:val="19"/>
                <w:color w:val="auto"/>
              </w:rPr>
            </w:pPr>
          </w:p>
        </w:tc>
        <w:tc>
          <w:tcPr>
            <w:tcW w:w="700" w:type="dxa"/>
            <w:vAlign w:val="bottom"/>
          </w:tcPr>
          <w:p>
            <w:pPr>
              <w:ind w:left="2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1,994</w:t>
            </w:r>
          </w:p>
        </w:tc>
      </w:tr>
      <w:tr>
        <w:trPr>
          <w:trHeight w:val="284"/>
        </w:trPr>
        <w:tc>
          <w:tcPr>
            <w:tcW w:w="6320" w:type="dxa"/>
            <w:vAlign w:val="bottom"/>
            <w:gridSpan w:val="2"/>
          </w:tcPr>
          <w:p>
            <w:pPr>
              <w:ind w:left="100"/>
              <w:spacing w:after="0"/>
              <w:rPr>
                <w:sz w:val="20"/>
                <w:szCs w:val="20"/>
                <w:color w:val="auto"/>
              </w:rPr>
            </w:pPr>
            <w:r>
              <w:rPr>
                <w:rFonts w:ascii="Arial" w:cs="Arial" w:eastAsia="Arial" w:hAnsi="Arial"/>
                <w:sz w:val="15"/>
                <w:szCs w:val="15"/>
                <w:color w:val="auto"/>
              </w:rPr>
              <w:t>Single-family mortgage loans held for investment, at amortized cost</w:t>
            </w: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Internal Model</w:t>
            </w:r>
          </w:p>
        </w:tc>
        <w:tc>
          <w:tcPr>
            <w:tcW w:w="160" w:type="dxa"/>
            <w:vAlign w:val="bottom"/>
          </w:tcPr>
          <w:p>
            <w:pPr>
              <w:spacing w:after="0"/>
              <w:rPr>
                <w:sz w:val="24"/>
                <w:szCs w:val="24"/>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330</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407</w:t>
            </w:r>
          </w:p>
        </w:tc>
      </w:tr>
      <w:tr>
        <w:trPr>
          <w:trHeight w:val="276"/>
        </w:trPr>
        <w:tc>
          <w:tcPr>
            <w:tcW w:w="6320" w:type="dxa"/>
            <w:vAlign w:val="bottom"/>
            <w:gridSpan w:val="2"/>
          </w:tcPr>
          <w:p>
            <w:pPr>
              <w:ind w:left="100"/>
              <w:spacing w:after="0"/>
              <w:rPr>
                <w:sz w:val="20"/>
                <w:szCs w:val="20"/>
                <w:color w:val="auto"/>
              </w:rPr>
            </w:pPr>
            <w:r>
              <w:rPr>
                <w:rFonts w:ascii="Arial" w:cs="Arial" w:eastAsia="Arial" w:hAnsi="Arial"/>
                <w:sz w:val="15"/>
                <w:szCs w:val="15"/>
                <w:color w:val="auto"/>
              </w:rPr>
              <w:t>Multifamily mortgage loans held for investment, at amortized cost</w:t>
            </w: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Appraisal</w:t>
            </w:r>
          </w:p>
        </w:tc>
        <w:tc>
          <w:tcPr>
            <w:tcW w:w="160" w:type="dxa"/>
            <w:vAlign w:val="bottom"/>
          </w:tcPr>
          <w:p>
            <w:pPr>
              <w:spacing w:after="0"/>
              <w:rPr>
                <w:sz w:val="23"/>
                <w:szCs w:val="23"/>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187</w:t>
            </w: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06"/>
        </w:trPr>
        <w:tc>
          <w:tcPr>
            <w:tcW w:w="6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Broker Price Opinion</w:t>
            </w:r>
          </w:p>
        </w:tc>
        <w:tc>
          <w:tcPr>
            <w:tcW w:w="1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488</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769</w:t>
            </w:r>
          </w:p>
        </w:tc>
      </w:tr>
      <w:tr>
        <w:trPr>
          <w:trHeight w:val="208"/>
        </w:trPr>
        <w:tc>
          <w:tcPr>
            <w:tcW w:w="624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Internal Model</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207</w:t>
            </w:r>
          </w:p>
        </w:tc>
        <w:tc>
          <w:tcPr>
            <w:tcW w:w="200" w:type="dxa"/>
            <w:vAlign w:val="bottom"/>
          </w:tcPr>
          <w:p>
            <w:pPr>
              <w:spacing w:after="0"/>
              <w:rPr>
                <w:sz w:val="18"/>
                <w:szCs w:val="18"/>
                <w:color w:val="auto"/>
              </w:rPr>
            </w:pPr>
          </w:p>
        </w:tc>
        <w:tc>
          <w:tcPr>
            <w:tcW w:w="700" w:type="dxa"/>
            <w:vAlign w:val="bottom"/>
            <w:tcBorders>
              <w:bottom w:val="single" w:sz="8" w:color="2C6937"/>
            </w:tcBorders>
          </w:tcPr>
          <w:p>
            <w:pPr>
              <w:spacing w:after="0"/>
              <w:rPr>
                <w:sz w:val="18"/>
                <w:szCs w:val="18"/>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218</w:t>
            </w:r>
          </w:p>
        </w:tc>
      </w:tr>
      <w:tr>
        <w:trPr>
          <w:trHeight w:val="231"/>
        </w:trPr>
        <w:tc>
          <w:tcPr>
            <w:tcW w:w="6320" w:type="dxa"/>
            <w:vAlign w:val="bottom"/>
            <w:gridSpan w:val="2"/>
          </w:tcPr>
          <w:p>
            <w:pPr>
              <w:ind w:left="180"/>
              <w:spacing w:after="0"/>
              <w:rPr>
                <w:sz w:val="20"/>
                <w:szCs w:val="20"/>
                <w:color w:val="auto"/>
              </w:rPr>
            </w:pPr>
            <w:r>
              <w:rPr>
                <w:rFonts w:ascii="Arial" w:cs="Arial" w:eastAsia="Arial" w:hAnsi="Arial"/>
                <w:sz w:val="15"/>
                <w:szCs w:val="15"/>
                <w:color w:val="auto"/>
              </w:rPr>
              <w:t>Total multifamily mortgage loans held for investment, at amortized cost</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882</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1,020</w:t>
            </w:r>
          </w:p>
        </w:tc>
      </w:tr>
      <w:tr>
        <w:trPr>
          <w:trHeight w:val="250"/>
        </w:trPr>
        <w:tc>
          <w:tcPr>
            <w:tcW w:w="6320" w:type="dxa"/>
            <w:vAlign w:val="bottom"/>
            <w:gridSpan w:val="2"/>
          </w:tcPr>
          <w:p>
            <w:pPr>
              <w:ind w:left="20"/>
              <w:spacing w:after="0"/>
              <w:rPr>
                <w:sz w:val="20"/>
                <w:szCs w:val="20"/>
                <w:color w:val="auto"/>
              </w:rPr>
            </w:pPr>
            <w:r>
              <w:rPr>
                <w:rFonts w:ascii="Arial" w:cs="Arial" w:eastAsia="Arial" w:hAnsi="Arial"/>
                <w:sz w:val="15"/>
                <w:szCs w:val="15"/>
                <w:color w:val="auto"/>
              </w:rPr>
              <w:t>Acquired property, net:</w:t>
            </w: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32"/>
        </w:trPr>
        <w:tc>
          <w:tcPr>
            <w:tcW w:w="6320" w:type="dxa"/>
            <w:vAlign w:val="bottom"/>
            <w:gridSpan w:val="2"/>
          </w:tcPr>
          <w:p>
            <w:pPr>
              <w:ind w:left="100"/>
              <w:spacing w:after="0"/>
              <w:rPr>
                <w:sz w:val="20"/>
                <w:szCs w:val="20"/>
                <w:color w:val="auto"/>
              </w:rPr>
            </w:pPr>
            <w:r>
              <w:rPr>
                <w:rFonts w:ascii="Arial" w:cs="Arial" w:eastAsia="Arial" w:hAnsi="Arial"/>
                <w:sz w:val="15"/>
                <w:szCs w:val="15"/>
                <w:color w:val="auto"/>
              </w:rPr>
              <w:t>Single-family</w:t>
            </w: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Accepted Offer</w:t>
            </w:r>
          </w:p>
        </w:tc>
        <w:tc>
          <w:tcPr>
            <w:tcW w:w="160" w:type="dxa"/>
            <w:vAlign w:val="bottom"/>
          </w:tcPr>
          <w:p>
            <w:pPr>
              <w:spacing w:after="0"/>
              <w:rPr>
                <w:sz w:val="20"/>
                <w:szCs w:val="20"/>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28</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206"/>
        </w:trPr>
        <w:tc>
          <w:tcPr>
            <w:tcW w:w="6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Appraisal</w:t>
            </w:r>
          </w:p>
        </w:tc>
        <w:tc>
          <w:tcPr>
            <w:tcW w:w="1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53</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06"/>
        </w:trPr>
        <w:tc>
          <w:tcPr>
            <w:tcW w:w="6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Internal Model</w:t>
            </w:r>
          </w:p>
        </w:tc>
        <w:tc>
          <w:tcPr>
            <w:tcW w:w="1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249</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230</w:t>
            </w:r>
          </w:p>
        </w:tc>
      </w:tr>
      <w:tr>
        <w:trPr>
          <w:trHeight w:val="206"/>
        </w:trPr>
        <w:tc>
          <w:tcPr>
            <w:tcW w:w="6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ind w:left="20"/>
              <w:spacing w:after="0"/>
              <w:rPr>
                <w:sz w:val="20"/>
                <w:szCs w:val="20"/>
                <w:color w:val="auto"/>
              </w:rPr>
            </w:pPr>
            <w:r>
              <w:rPr>
                <w:rFonts w:ascii="Arial" w:cs="Arial" w:eastAsia="Arial" w:hAnsi="Arial"/>
                <w:sz w:val="15"/>
                <w:szCs w:val="15"/>
                <w:color w:val="auto"/>
              </w:rPr>
              <w:t>Walk Forward</w:t>
            </w:r>
          </w:p>
        </w:tc>
        <w:tc>
          <w:tcPr>
            <w:tcW w:w="1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71</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75</w:t>
            </w:r>
          </w:p>
        </w:tc>
      </w:tr>
      <w:tr>
        <w:trPr>
          <w:trHeight w:val="208"/>
        </w:trPr>
        <w:tc>
          <w:tcPr>
            <w:tcW w:w="624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Various</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5</w:t>
            </w:r>
          </w:p>
        </w:tc>
        <w:tc>
          <w:tcPr>
            <w:tcW w:w="200" w:type="dxa"/>
            <w:vAlign w:val="bottom"/>
          </w:tcPr>
          <w:p>
            <w:pPr>
              <w:spacing w:after="0"/>
              <w:rPr>
                <w:sz w:val="18"/>
                <w:szCs w:val="18"/>
                <w:color w:val="auto"/>
              </w:rPr>
            </w:pPr>
          </w:p>
        </w:tc>
        <w:tc>
          <w:tcPr>
            <w:tcW w:w="700" w:type="dxa"/>
            <w:vAlign w:val="bottom"/>
            <w:tcBorders>
              <w:bottom w:val="single" w:sz="8" w:color="2C6937"/>
            </w:tcBorders>
          </w:tcPr>
          <w:p>
            <w:pPr>
              <w:spacing w:after="0"/>
              <w:rPr>
                <w:sz w:val="18"/>
                <w:szCs w:val="18"/>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w:t>
            </w:r>
          </w:p>
        </w:tc>
      </w:tr>
      <w:tr>
        <w:trPr>
          <w:trHeight w:val="231"/>
        </w:trPr>
        <w:tc>
          <w:tcPr>
            <w:tcW w:w="6320" w:type="dxa"/>
            <w:vAlign w:val="bottom"/>
            <w:gridSpan w:val="2"/>
          </w:tcPr>
          <w:p>
            <w:pPr>
              <w:ind w:left="180"/>
              <w:spacing w:after="0"/>
              <w:rPr>
                <w:sz w:val="20"/>
                <w:szCs w:val="20"/>
                <w:color w:val="auto"/>
              </w:rPr>
            </w:pPr>
            <w:r>
              <w:rPr>
                <w:rFonts w:ascii="Arial" w:cs="Arial" w:eastAsia="Arial" w:hAnsi="Arial"/>
                <w:sz w:val="15"/>
                <w:szCs w:val="15"/>
                <w:color w:val="auto"/>
              </w:rPr>
              <w:t>Total single-family</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406</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390</w:t>
            </w:r>
          </w:p>
        </w:tc>
      </w:tr>
      <w:tr>
        <w:trPr>
          <w:trHeight w:val="277"/>
        </w:trPr>
        <w:tc>
          <w:tcPr>
            <w:tcW w:w="6240" w:type="dxa"/>
            <w:vAlign w:val="bottom"/>
            <w:tcBorders>
              <w:bottom w:val="single" w:sz="8" w:color="2C6937"/>
            </w:tcBorders>
          </w:tcPr>
          <w:p>
            <w:pPr>
              <w:ind w:left="100"/>
              <w:spacing w:after="0"/>
              <w:rPr>
                <w:sz w:val="20"/>
                <w:szCs w:val="20"/>
                <w:color w:val="auto"/>
              </w:rPr>
            </w:pPr>
            <w:r>
              <w:rPr>
                <w:rFonts w:ascii="Arial" w:cs="Arial" w:eastAsia="Arial" w:hAnsi="Arial"/>
                <w:sz w:val="15"/>
                <w:szCs w:val="15"/>
                <w:color w:val="auto"/>
              </w:rPr>
              <w:t>Multifamily</w:t>
            </w:r>
          </w:p>
        </w:tc>
        <w:tc>
          <w:tcPr>
            <w:tcW w:w="80" w:type="dxa"/>
            <w:vAlign w:val="bottom"/>
          </w:tcPr>
          <w:p>
            <w:pPr>
              <w:spacing w:after="0"/>
              <w:rPr>
                <w:sz w:val="24"/>
                <w:szCs w:val="24"/>
                <w:color w:val="auto"/>
              </w:rPr>
            </w:pPr>
          </w:p>
        </w:tc>
        <w:tc>
          <w:tcPr>
            <w:tcW w:w="19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Various</w:t>
            </w:r>
          </w:p>
        </w:tc>
        <w:tc>
          <w:tcPr>
            <w:tcW w:w="100" w:type="dxa"/>
            <w:vAlign w:val="bottom"/>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22</w:t>
            </w:r>
          </w:p>
        </w:tc>
        <w:tc>
          <w:tcPr>
            <w:tcW w:w="200" w:type="dxa"/>
            <w:vAlign w:val="bottom"/>
          </w:tcPr>
          <w:p>
            <w:pPr>
              <w:spacing w:after="0"/>
              <w:rPr>
                <w:sz w:val="24"/>
                <w:szCs w:val="24"/>
                <w:color w:val="auto"/>
              </w:rPr>
            </w:pPr>
          </w:p>
        </w:tc>
        <w:tc>
          <w:tcPr>
            <w:tcW w:w="700" w:type="dxa"/>
            <w:vAlign w:val="bottom"/>
            <w:tcBorders>
              <w:bottom w:val="single" w:sz="8" w:color="2C6937"/>
            </w:tcBorders>
          </w:tcPr>
          <w:p>
            <w:pPr>
              <w:spacing w:after="0"/>
              <w:rPr>
                <w:sz w:val="24"/>
                <w:szCs w:val="24"/>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182</w:t>
            </w:r>
          </w:p>
        </w:tc>
      </w:tr>
      <w:tr>
        <w:trPr>
          <w:trHeight w:val="199"/>
        </w:trPr>
        <w:tc>
          <w:tcPr>
            <w:tcW w:w="6320" w:type="dxa"/>
            <w:vAlign w:val="bottom"/>
            <w:gridSpan w:val="2"/>
          </w:tcPr>
          <w:p>
            <w:pPr>
              <w:ind w:left="20"/>
              <w:spacing w:after="0"/>
              <w:rPr>
                <w:sz w:val="20"/>
                <w:szCs w:val="20"/>
                <w:color w:val="auto"/>
              </w:rPr>
            </w:pPr>
            <w:r>
              <w:rPr>
                <w:rFonts w:ascii="Arial" w:cs="Arial" w:eastAsia="Arial" w:hAnsi="Arial"/>
                <w:sz w:val="15"/>
                <w:szCs w:val="15"/>
                <w:color w:val="auto"/>
              </w:rPr>
              <w:t>Total nonrecurring assets at fair value</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1,848</w:t>
            </w:r>
          </w:p>
        </w:tc>
        <w:tc>
          <w:tcPr>
            <w:tcW w:w="200" w:type="dxa"/>
            <w:vAlign w:val="bottom"/>
          </w:tcPr>
          <w:p>
            <w:pPr>
              <w:spacing w:after="0"/>
              <w:rPr>
                <w:sz w:val="17"/>
                <w:szCs w:val="17"/>
                <w:color w:val="auto"/>
              </w:rPr>
            </w:pPr>
          </w:p>
        </w:tc>
        <w:tc>
          <w:tcPr>
            <w:tcW w:w="700" w:type="dxa"/>
            <w:vAlign w:val="bottom"/>
          </w:tcPr>
          <w:p>
            <w:pPr>
              <w:ind w:left="2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3,993</w:t>
            </w:r>
          </w:p>
        </w:tc>
      </w:tr>
      <w:tr>
        <w:trPr>
          <w:trHeight w:val="20"/>
        </w:trPr>
        <w:tc>
          <w:tcPr>
            <w:tcW w:w="62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jc w:val="both"/>
        <w:ind w:left="240" w:right="120" w:hanging="237"/>
        <w:spacing w:after="0" w:line="228" w:lineRule="auto"/>
        <w:tabs>
          <w:tab w:leader="none" w:pos="233" w:val="left"/>
        </w:tabs>
        <w:numPr>
          <w:ilvl w:val="0"/>
          <w:numId w:val="137"/>
        </w:numPr>
        <w:rPr>
          <w:rFonts w:ascii="Arial" w:cs="Arial" w:eastAsia="Arial" w:hAnsi="Arial"/>
          <w:sz w:val="18"/>
          <w:szCs w:val="18"/>
          <w:color w:val="auto"/>
          <w:vertAlign w:val="superscript"/>
        </w:rPr>
      </w:pPr>
      <w:r>
        <w:rPr>
          <w:rFonts w:ascii="Arial" w:cs="Arial" w:eastAsia="Arial" w:hAnsi="Arial"/>
          <w:sz w:val="14"/>
          <w:szCs w:val="14"/>
          <w:color w:val="auto"/>
        </w:rPr>
        <w:t>When we measure impairment, including recoveries, based on the fair value of the loan or the underlying collateral and impairment is recorded on any component of the mortgage loan, including accrued interest receivable and amounts due from the borrower for advances of taxes and insurance, we present the entire fair value measurement amount with the corresponding mortgage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373380</wp:posOffset>
            </wp:positionV>
            <wp:extent cx="680593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111" w:name="page112"/>
    <w:bookmarkEnd w:id="111"/>
    <w:p>
      <w:pPr>
        <w:jc w:val="right"/>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of Financial Instruments</w:t>
      </w:r>
    </w:p>
    <w:p>
      <w:pPr>
        <w:spacing w:after="0" w:line="6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following table displays the carrying value and estimated fair value of our financial instruments. The fair value of financial instruments we disclose includes commitments to purchase multifamily and single-family mortgage loans that we do not record in our condensed consolidated balance sheets. The fair values of these commitments are included as “Mortgage loans held for investment, net of allowance for loan losses.” The disclosure excludes all non-financial instruments; therefore, the fair value of our financial assets and liabilities does not represent the underlying fair value of our total consolidated assets and liabilities.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40" w:type="dxa"/>
            <w:vAlign w:val="bottom"/>
            <w:tcBorders>
              <w:bottom w:val="single" w:sz="8" w:color="2C6937"/>
            </w:tcBorders>
            <w:gridSpan w:val="5"/>
          </w:tcPr>
          <w:p>
            <w:pPr>
              <w:ind w:left="580"/>
              <w:spacing w:after="0"/>
              <w:rPr>
                <w:sz w:val="20"/>
                <w:szCs w:val="20"/>
                <w:color w:val="auto"/>
              </w:rPr>
            </w:pPr>
            <w:r>
              <w:rPr>
                <w:rFonts w:ascii="Arial" w:cs="Arial" w:eastAsia="Arial" w:hAnsi="Arial"/>
                <w:sz w:val="14"/>
                <w:szCs w:val="14"/>
                <w:b w:val="1"/>
                <w:bCs w:val="1"/>
                <w:color w:val="auto"/>
              </w:rPr>
              <w:t>As of June 30, 2024</w:t>
            </w: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Quoted Prices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 Active</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Markets for</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Significant Other</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Unobservable</w:t>
            </w:r>
          </w:p>
        </w:tc>
        <w:tc>
          <w:tcPr>
            <w:tcW w:w="14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Netting</w:t>
            </w:r>
          </w:p>
        </w:tc>
        <w:tc>
          <w:tcPr>
            <w:tcW w:w="80" w:type="dxa"/>
            <w:vAlign w:val="bottom"/>
          </w:tcPr>
          <w:p>
            <w:pPr>
              <w:spacing w:after="0"/>
              <w:rPr>
                <w:sz w:val="14"/>
                <w:szCs w:val="14"/>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Identical Assets</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Observable</w:t>
            </w:r>
          </w:p>
        </w:tc>
        <w:tc>
          <w:tcPr>
            <w:tcW w:w="140" w:type="dxa"/>
            <w:vAlign w:val="bottom"/>
          </w:tcPr>
          <w:p>
            <w:pPr>
              <w:spacing w:after="0"/>
              <w:rPr>
                <w:sz w:val="13"/>
                <w:szCs w:val="13"/>
                <w:color w:val="auto"/>
              </w:rPr>
            </w:pPr>
          </w:p>
        </w:tc>
        <w:tc>
          <w:tcPr>
            <w:tcW w:w="12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(Level 1)</w:t>
            </w:r>
          </w:p>
        </w:tc>
        <w:tc>
          <w:tcPr>
            <w:tcW w:w="10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Inputs (Level 2)</w:t>
            </w:r>
          </w:p>
        </w:tc>
        <w:tc>
          <w:tcPr>
            <w:tcW w:w="14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(Level 3)</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33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ind w:left="58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 including restricted cash</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and cash equivalents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78,313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35,763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42,550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78,313</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27,650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27,650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27,650</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49,392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48,045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49,392</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19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4,128,568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3,493,410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127,303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3,620,713</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1,856</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97"/>
        </w:trPr>
        <w:tc>
          <w:tcPr>
            <w:tcW w:w="34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 and buy-ups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12"/>
        </w:trPr>
        <w:tc>
          <w:tcPr>
            <w:tcW w:w="3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8"/>
                <w:szCs w:val="18"/>
                <w:color w:val="auto"/>
              </w:rPr>
            </w:pPr>
          </w:p>
        </w:tc>
        <w:tc>
          <w:tcPr>
            <w:tcW w:w="28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4,287,220</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83,808</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3,567,306</w:t>
            </w:r>
          </w:p>
        </w:tc>
        <w:tc>
          <w:tcPr>
            <w:tcW w:w="12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128,674</w:t>
            </w:r>
          </w:p>
        </w:tc>
        <w:tc>
          <w:tcPr>
            <w:tcW w:w="10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8"/>
                <w:szCs w:val="18"/>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3,779,498</w:t>
            </w:r>
          </w:p>
        </w:tc>
        <w:tc>
          <w:tcPr>
            <w:tcW w:w="0" w:type="dxa"/>
            <w:vAlign w:val="bottom"/>
          </w:tcPr>
          <w:p>
            <w:pPr>
              <w:spacing w:after="0"/>
              <w:rPr>
                <w:sz w:val="1"/>
                <w:szCs w:val="1"/>
                <w:color w:val="auto"/>
              </w:rPr>
            </w:pPr>
          </w:p>
        </w:tc>
      </w:tr>
      <w:tr>
        <w:trPr>
          <w:trHeight w:val="22"/>
        </w:trPr>
        <w:tc>
          <w:tcPr>
            <w:tcW w:w="34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12,008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12,007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12,007</w:t>
            </w:r>
          </w:p>
        </w:tc>
        <w:tc>
          <w:tcPr>
            <w:tcW w:w="0" w:type="dxa"/>
            <w:vAlign w:val="bottom"/>
          </w:tcPr>
          <w:p>
            <w:pPr>
              <w:spacing w:after="0"/>
              <w:rPr>
                <w:sz w:val="1"/>
                <w:szCs w:val="1"/>
                <w:color w:val="auto"/>
              </w:rPr>
            </w:pPr>
          </w:p>
        </w:tc>
      </w:tr>
      <w:tr>
        <w:trPr>
          <w:trHeight w:val="206"/>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106,535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106,618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107,249</w:t>
            </w:r>
          </w:p>
        </w:tc>
        <w:tc>
          <w:tcPr>
            <w:tcW w:w="0" w:type="dxa"/>
            <w:vAlign w:val="bottom"/>
          </w:tcPr>
          <w:p>
            <w:pPr>
              <w:spacing w:after="0"/>
              <w:rPr>
                <w:sz w:val="1"/>
                <w:szCs w:val="1"/>
                <w:color w:val="auto"/>
              </w:rPr>
            </w:pPr>
          </w:p>
        </w:tc>
      </w:tr>
      <w:tr>
        <w:trPr>
          <w:trHeight w:val="219"/>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4,094,421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3,553,827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3,554,106</w:t>
            </w:r>
          </w:p>
        </w:tc>
        <w:tc>
          <w:tcPr>
            <w:tcW w:w="0" w:type="dxa"/>
            <w:vAlign w:val="bottom"/>
          </w:tcPr>
          <w:p>
            <w:pPr>
              <w:spacing w:after="0"/>
              <w:rPr>
                <w:sz w:val="1"/>
                <w:szCs w:val="1"/>
                <w:color w:val="auto"/>
              </w:rPr>
            </w:pPr>
          </w:p>
        </w:tc>
      </w:tr>
      <w:tr>
        <w:trPr>
          <w:trHeight w:val="19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97"/>
        </w:trPr>
        <w:tc>
          <w:tcPr>
            <w:tcW w:w="34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12"/>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4,213,120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3,675,544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984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(3,026)</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3,673,502</w:t>
            </w:r>
          </w:p>
        </w:tc>
        <w:tc>
          <w:tcPr>
            <w:tcW w:w="0" w:type="dxa"/>
            <w:vAlign w:val="bottom"/>
          </w:tcPr>
          <w:p>
            <w:pPr>
              <w:spacing w:after="0"/>
              <w:rPr>
                <w:sz w:val="1"/>
                <w:szCs w:val="1"/>
                <w:color w:val="auto"/>
              </w:rPr>
            </w:pPr>
          </w:p>
        </w:tc>
      </w:tr>
      <w:tr>
        <w:trPr>
          <w:trHeight w:val="22"/>
        </w:trPr>
        <w:tc>
          <w:tcPr>
            <w:tcW w:w="3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474980</wp:posOffset>
            </wp:positionV>
            <wp:extent cx="680593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48" w:right="439" w:bottom="1440" w:gutter="0" w:footer="0" w:header="0"/>
        </w:sectPr>
      </w:pPr>
    </w:p>
    <w:bookmarkStart w:id="112" w:name="page113"/>
    <w:bookmarkEnd w:id="112"/>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660" w:type="dxa"/>
            <w:vAlign w:val="bottom"/>
            <w:tcBorders>
              <w:bottom w:val="single" w:sz="8" w:color="2C6937"/>
            </w:tcBorders>
            <w:gridSpan w:val="5"/>
          </w:tcPr>
          <w:p>
            <w:pPr>
              <w:jc w:val="center"/>
              <w:ind w:right="160"/>
              <w:spacing w:after="0"/>
              <w:rPr>
                <w:sz w:val="20"/>
                <w:szCs w:val="20"/>
                <w:color w:val="auto"/>
              </w:rPr>
            </w:pPr>
            <w:r>
              <w:rPr>
                <w:rFonts w:ascii="Arial" w:cs="Arial" w:eastAsia="Arial" w:hAnsi="Arial"/>
                <w:sz w:val="14"/>
                <w:szCs w:val="14"/>
                <w:b w:val="1"/>
                <w:bCs w:val="1"/>
                <w:color w:val="auto"/>
                <w:w w:val="98"/>
              </w:rPr>
              <w:t>As of December 31, 2023</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Quoted Prices in</w:t>
            </w:r>
          </w:p>
        </w:tc>
        <w:tc>
          <w:tcPr>
            <w:tcW w:w="8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Significant</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Active Markets</w:t>
            </w: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Unobservable</w:t>
            </w:r>
          </w:p>
        </w:tc>
        <w:tc>
          <w:tcPr>
            <w:tcW w:w="14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Netting</w:t>
            </w:r>
          </w:p>
        </w:tc>
        <w:tc>
          <w:tcPr>
            <w:tcW w:w="120" w:type="dxa"/>
            <w:vAlign w:val="bottom"/>
          </w:tcPr>
          <w:p>
            <w:pPr>
              <w:spacing w:after="0"/>
              <w:rPr>
                <w:sz w:val="14"/>
                <w:szCs w:val="14"/>
                <w:color w:val="auto"/>
              </w:rPr>
            </w:pPr>
          </w:p>
        </w:tc>
        <w:tc>
          <w:tcPr>
            <w:tcW w:w="10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for Identical</w:t>
            </w:r>
          </w:p>
        </w:tc>
        <w:tc>
          <w:tcPr>
            <w:tcW w:w="80" w:type="dxa"/>
            <w:vAlign w:val="bottom"/>
          </w:tcPr>
          <w:p>
            <w:pPr>
              <w:spacing w:after="0"/>
              <w:rPr>
                <w:sz w:val="13"/>
                <w:szCs w:val="13"/>
                <w:color w:val="auto"/>
              </w:rPr>
            </w:pPr>
          </w:p>
        </w:tc>
        <w:tc>
          <w:tcPr>
            <w:tcW w:w="12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Observable</w:t>
            </w:r>
          </w:p>
        </w:tc>
        <w:tc>
          <w:tcPr>
            <w:tcW w:w="160" w:type="dxa"/>
            <w:vAlign w:val="bottom"/>
          </w:tcPr>
          <w:p>
            <w:pPr>
              <w:spacing w:after="0"/>
              <w:rPr>
                <w:sz w:val="13"/>
                <w:szCs w:val="13"/>
                <w:color w:val="auto"/>
              </w:rPr>
            </w:pPr>
          </w:p>
        </w:tc>
        <w:tc>
          <w:tcPr>
            <w:tcW w:w="12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Carrying Value</w:t>
            </w:r>
          </w:p>
        </w:tc>
        <w:tc>
          <w:tcPr>
            <w:tcW w:w="1240" w:type="dxa"/>
            <w:vAlign w:val="bottom"/>
            <w:tcBorders>
              <w:bottom w:val="single" w:sz="8" w:color="2C6937"/>
            </w:tcBorders>
            <w:gridSpan w:val="3"/>
          </w:tcPr>
          <w:p>
            <w:pPr>
              <w:jc w:val="center"/>
              <w:ind w:right="120"/>
              <w:spacing w:after="0"/>
              <w:rPr>
                <w:sz w:val="20"/>
                <w:szCs w:val="20"/>
                <w:color w:val="auto"/>
              </w:rPr>
            </w:pPr>
            <w:r>
              <w:rPr>
                <w:rFonts w:ascii="Arial" w:cs="Arial" w:eastAsia="Arial" w:hAnsi="Arial"/>
                <w:sz w:val="14"/>
                <w:szCs w:val="14"/>
                <w:b w:val="1"/>
                <w:bCs w:val="1"/>
                <w:color w:val="auto"/>
                <w:w w:val="97"/>
              </w:rPr>
              <w:t>Assets (Level 1)</w:t>
            </w:r>
          </w:p>
        </w:tc>
        <w:tc>
          <w:tcPr>
            <w:tcW w:w="80" w:type="dxa"/>
            <w:vAlign w:val="bottom"/>
            <w:tcBorders>
              <w:bottom w:val="single" w:sz="8" w:color="2C6937"/>
            </w:tcBorders>
          </w:tcPr>
          <w:p>
            <w:pPr>
              <w:spacing w:after="0"/>
              <w:rPr>
                <w:sz w:val="17"/>
                <w:szCs w:val="17"/>
                <w:color w:val="auto"/>
              </w:rPr>
            </w:pPr>
          </w:p>
        </w:tc>
        <w:tc>
          <w:tcPr>
            <w:tcW w:w="122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Inputs (Level 2)</w:t>
            </w:r>
          </w:p>
        </w:tc>
        <w:tc>
          <w:tcPr>
            <w:tcW w:w="16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(Level 3)</w:t>
            </w: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5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 including restricted cash</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68,706</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33,981</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34,725</w:t>
            </w:r>
          </w:p>
        </w:tc>
        <w:tc>
          <w:tcPr>
            <w:tcW w:w="10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68,706</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30,700</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52,552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47,764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52,552</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2,289</w:t>
            </w: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4,133,482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3,571,555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3,701,577</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 and buy-ups</w:t>
            </w:r>
          </w:p>
        </w:tc>
        <w:tc>
          <w:tcPr>
            <w:tcW w:w="10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12"/>
        </w:trPr>
        <w:tc>
          <w:tcPr>
            <w:tcW w:w="348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4,289,817</w:t>
            </w:r>
          </w:p>
        </w:tc>
        <w:tc>
          <w:tcPr>
            <w:tcW w:w="100" w:type="dxa"/>
            <w:vAlign w:val="bottom"/>
          </w:tcPr>
          <w:p>
            <w:pPr>
              <w:spacing w:after="0"/>
              <w:rPr>
                <w:sz w:val="18"/>
                <w:szCs w:val="18"/>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81,745</w:t>
            </w:r>
          </w:p>
        </w:tc>
        <w:tc>
          <w:tcPr>
            <w:tcW w:w="100" w:type="dxa"/>
            <w:vAlign w:val="bottom"/>
          </w:tcPr>
          <w:p>
            <w:pPr>
              <w:spacing w:after="0"/>
              <w:rPr>
                <w:sz w:val="18"/>
                <w:szCs w:val="18"/>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3,643,669</w:t>
            </w:r>
          </w:p>
        </w:tc>
        <w:tc>
          <w:tcPr>
            <w:tcW w:w="100" w:type="dxa"/>
            <w:vAlign w:val="bottom"/>
          </w:tcPr>
          <w:p>
            <w:pPr>
              <w:spacing w:after="0"/>
              <w:rPr>
                <w:sz w:val="18"/>
                <w:szCs w:val="18"/>
                <w:color w:val="auto"/>
              </w:rPr>
            </w:pPr>
          </w:p>
        </w:tc>
        <w:tc>
          <w:tcPr>
            <w:tcW w:w="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133,003</w:t>
            </w:r>
          </w:p>
        </w:tc>
        <w:tc>
          <w:tcPr>
            <w:tcW w:w="10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8"/>
                <w:szCs w:val="18"/>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3,858,134</w:t>
            </w:r>
          </w:p>
        </w:tc>
        <w:tc>
          <w:tcPr>
            <w:tcW w:w="0" w:type="dxa"/>
            <w:vAlign w:val="bottom"/>
          </w:tcPr>
          <w:p>
            <w:pPr>
              <w:spacing w:after="0"/>
              <w:rPr>
                <w:sz w:val="1"/>
                <w:szCs w:val="1"/>
                <w:color w:val="auto"/>
              </w:rPr>
            </w:pPr>
          </w:p>
        </w:tc>
      </w:tr>
      <w:tr>
        <w:trPr>
          <w:trHeight w:val="22"/>
        </w:trPr>
        <w:tc>
          <w:tcPr>
            <w:tcW w:w="34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17,314</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17,317</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17,317</w:t>
            </w:r>
          </w:p>
        </w:tc>
        <w:tc>
          <w:tcPr>
            <w:tcW w:w="0" w:type="dxa"/>
            <w:vAlign w:val="bottom"/>
          </w:tcPr>
          <w:p>
            <w:pPr>
              <w:spacing w:after="0"/>
              <w:rPr>
                <w:sz w:val="1"/>
                <w:szCs w:val="1"/>
                <w:color w:val="auto"/>
              </w:rPr>
            </w:pPr>
          </w:p>
        </w:tc>
      </w:tr>
      <w:tr>
        <w:trPr>
          <w:trHeight w:val="206"/>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106,751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106,701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107,306</w:t>
            </w:r>
          </w:p>
        </w:tc>
        <w:tc>
          <w:tcPr>
            <w:tcW w:w="0" w:type="dxa"/>
            <w:vAlign w:val="bottom"/>
          </w:tcPr>
          <w:p>
            <w:pPr>
              <w:spacing w:after="0"/>
              <w:rPr>
                <w:sz w:val="1"/>
                <w:szCs w:val="1"/>
                <w:color w:val="auto"/>
              </w:rPr>
            </w:pPr>
          </w:p>
        </w:tc>
      </w:tr>
      <w:tr>
        <w:trPr>
          <w:trHeight w:val="219"/>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4,098,653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3,633,157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3,633,450</w:t>
            </w: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97"/>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12"/>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4,222,937</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3,760,502</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3,758,278</w:t>
            </w:r>
          </w:p>
        </w:tc>
        <w:tc>
          <w:tcPr>
            <w:tcW w:w="0" w:type="dxa"/>
            <w:vAlign w:val="bottom"/>
          </w:tcPr>
          <w:p>
            <w:pPr>
              <w:spacing w:after="0"/>
              <w:rPr>
                <w:sz w:val="1"/>
                <w:szCs w:val="1"/>
                <w:color w:val="auto"/>
              </w:rPr>
            </w:pPr>
          </w:p>
        </w:tc>
      </w:tr>
      <w:tr>
        <w:trPr>
          <w:trHeight w:val="22"/>
        </w:trPr>
        <w:tc>
          <w:tcPr>
            <w:tcW w:w="34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For a detailed description and classification of our financial instruments, see “Note 16, Fair Value” in our 2023 Form 10-K.</w:t>
      </w:r>
    </w:p>
    <w:p>
      <w:pPr>
        <w:spacing w:after="0" w:line="14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Option</w:t>
      </w:r>
    </w:p>
    <w:p>
      <w:pPr>
        <w:spacing w:after="0" w:line="6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generally elect the fair value option on a financial instrument when the accounting guidance would otherwise require us to separately account for a derivative that is embedded in an instrument at fair value. Under the fair value option, we carry this type of instrument, in its entirety, at fair value instead of separately accounting for the derivative.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for the mortgage loans is recorded in “Interest income: Mortgage loans” and interest expense for the debt instruments is recorded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Long-term debt” in our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382270</wp:posOffset>
            </wp:positionV>
            <wp:extent cx="680593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3" w:name="page114"/>
    <w:bookmarkEnd w:id="113"/>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fair value and unpaid principal balance of the financial instruments for which we have elected the fair value option.</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5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7"/>
              </w:rPr>
              <w:t>As of</w:t>
            </w: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ind w:right="87"/>
              <w:spacing w:after="0"/>
              <w:rPr>
                <w:sz w:val="20"/>
                <w:szCs w:val="20"/>
                <w:color w:val="auto"/>
              </w:rPr>
            </w:pPr>
            <w:r>
              <w:rPr>
                <w:rFonts w:ascii="Arial" w:cs="Arial" w:eastAsia="Arial" w:hAnsi="Arial"/>
                <w:sz w:val="14"/>
                <w:szCs w:val="14"/>
                <w:b w:val="1"/>
                <w:bCs w:val="1"/>
                <w:color w:val="auto"/>
              </w:rPr>
              <w:t>June 30, 2024</w:t>
            </w:r>
          </w:p>
        </w:tc>
        <w:tc>
          <w:tcPr>
            <w:tcW w:w="5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480" w:type="dxa"/>
            <w:vAlign w:val="bottom"/>
            <w:gridSpan w:val="2"/>
          </w:tcPr>
          <w:p>
            <w:pPr>
              <w:jc w:val="right"/>
              <w:ind w:right="47"/>
              <w:spacing w:after="0" w:line="139" w:lineRule="exact"/>
              <w:rPr>
                <w:sz w:val="20"/>
                <w:szCs w:val="20"/>
                <w:color w:val="auto"/>
              </w:rPr>
            </w:pPr>
            <w:r>
              <w:rPr>
                <w:rFonts w:ascii="Arial" w:cs="Arial" w:eastAsia="Arial" w:hAnsi="Arial"/>
                <w:sz w:val="14"/>
                <w:szCs w:val="14"/>
                <w:b w:val="1"/>
                <w:bCs w:val="1"/>
                <w:color w:val="auto"/>
              </w:rPr>
              <w:t>Long-Term Debt of</w:t>
            </w:r>
          </w:p>
        </w:tc>
        <w:tc>
          <w:tcPr>
            <w:tcW w:w="144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Long-Term Debt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580" w:type="dxa"/>
            <w:vAlign w:val="bottom"/>
            <w:gridSpan w:val="2"/>
          </w:tcPr>
          <w:p>
            <w:pPr>
              <w:jc w:val="right"/>
              <w:ind w:right="126"/>
              <w:spacing w:after="0" w:line="139" w:lineRule="exact"/>
              <w:rPr>
                <w:sz w:val="20"/>
                <w:szCs w:val="20"/>
                <w:color w:val="auto"/>
              </w:rPr>
            </w:pPr>
            <w:r>
              <w:rPr>
                <w:rFonts w:ascii="Arial" w:cs="Arial" w:eastAsia="Arial" w:hAnsi="Arial"/>
                <w:sz w:val="14"/>
                <w:szCs w:val="14"/>
                <w:b w:val="1"/>
                <w:bCs w:val="1"/>
                <w:color w:val="auto"/>
              </w:rPr>
              <w:t>Long-Term Debt of</w:t>
            </w:r>
          </w:p>
        </w:tc>
        <w:tc>
          <w:tcPr>
            <w:tcW w:w="148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Long-Term Debt of</w:t>
            </w:r>
          </w:p>
        </w:tc>
        <w:tc>
          <w:tcPr>
            <w:tcW w:w="0" w:type="dxa"/>
            <w:vAlign w:val="bottom"/>
          </w:tcPr>
          <w:p>
            <w:pPr>
              <w:spacing w:after="0"/>
              <w:rPr>
                <w:sz w:val="1"/>
                <w:szCs w:val="1"/>
                <w:color w:val="auto"/>
              </w:rPr>
            </w:pPr>
          </w:p>
        </w:tc>
      </w:tr>
      <w:tr>
        <w:trPr>
          <w:trHeight w:val="177"/>
        </w:trPr>
        <w:tc>
          <w:tcPr>
            <w:tcW w:w="2480" w:type="dxa"/>
            <w:vAlign w:val="bottom"/>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120" w:type="dxa"/>
            <w:vAlign w:val="bottom"/>
            <w:tcBorders>
              <w:bottom w:val="single" w:sz="8" w:color="2C6937"/>
            </w:tcBorders>
          </w:tcPr>
          <w:p>
            <w:pPr>
              <w:jc w:val="right"/>
              <w:ind w:right="287"/>
              <w:spacing w:after="0"/>
              <w:rPr>
                <w:sz w:val="20"/>
                <w:szCs w:val="20"/>
                <w:color w:val="auto"/>
              </w:rPr>
            </w:pPr>
            <w:r>
              <w:rPr>
                <w:rFonts w:ascii="Arial" w:cs="Arial" w:eastAsia="Arial" w:hAnsi="Arial"/>
                <w:sz w:val="14"/>
                <w:szCs w:val="14"/>
                <w:b w:val="1"/>
                <w:bCs w:val="1"/>
                <w:color w:val="auto"/>
                <w:w w:val="96"/>
              </w:rPr>
              <w:t>Fannie Mae</w:t>
            </w:r>
          </w:p>
        </w:tc>
        <w:tc>
          <w:tcPr>
            <w:tcW w:w="144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w w:val="96"/>
              </w:rPr>
              <w:t>Consolidated Trusts</w:t>
            </w:r>
          </w:p>
        </w:tc>
        <w:tc>
          <w:tcPr>
            <w:tcW w:w="10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tcPr>
          <w:p>
            <w:pPr>
              <w:jc w:val="right"/>
              <w:ind w:right="346"/>
              <w:spacing w:after="0"/>
              <w:rPr>
                <w:sz w:val="20"/>
                <w:szCs w:val="20"/>
                <w:color w:val="auto"/>
              </w:rPr>
            </w:pPr>
            <w:r>
              <w:rPr>
                <w:rFonts w:ascii="Arial" w:cs="Arial" w:eastAsia="Arial" w:hAnsi="Arial"/>
                <w:sz w:val="14"/>
                <w:szCs w:val="14"/>
                <w:b w:val="1"/>
                <w:bCs w:val="1"/>
                <w:color w:val="auto"/>
              </w:rPr>
              <w:t>Fannie Mae</w:t>
            </w:r>
          </w:p>
        </w:tc>
        <w:tc>
          <w:tcPr>
            <w:tcW w:w="148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Consolidated Trusts</w:t>
            </w: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60" w:type="dxa"/>
            <w:vAlign w:val="bottom"/>
            <w:gridSpan w:val="5"/>
          </w:tcPr>
          <w:p>
            <w:pPr>
              <w:jc w:val="center"/>
              <w:ind w:right="186"/>
              <w:spacing w:after="0"/>
              <w:rPr>
                <w:sz w:val="20"/>
                <w:szCs w:val="20"/>
                <w:color w:val="auto"/>
              </w:rPr>
            </w:pPr>
            <w:r>
              <w:rPr>
                <w:rFonts w:ascii="Arial" w:cs="Arial" w:eastAsia="Arial" w:hAnsi="Arial"/>
                <w:sz w:val="14"/>
                <w:szCs w:val="14"/>
                <w:b w:val="1"/>
                <w:bCs w:val="1"/>
                <w:color w:val="auto"/>
                <w:w w:val="96"/>
              </w:rPr>
              <w:t>(Dollars in millions)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80" w:type="dxa"/>
            <w:vAlign w:val="bottom"/>
          </w:tcPr>
          <w:p>
            <w:pPr>
              <w:spacing w:after="0"/>
              <w:rPr>
                <w:sz w:val="20"/>
                <w:szCs w:val="20"/>
                <w:color w:val="auto"/>
              </w:rPr>
            </w:pPr>
            <w:r>
              <w:rPr>
                <w:rFonts w:ascii="Arial" w:cs="Arial" w:eastAsia="Arial" w:hAnsi="Arial"/>
                <w:sz w:val="15"/>
                <w:szCs w:val="15"/>
                <w:color w:val="auto"/>
              </w:rPr>
              <w:t>Fair value</w:t>
            </w:r>
          </w:p>
        </w:tc>
        <w:tc>
          <w:tcPr>
            <w:tcW w:w="30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3,194</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187"/>
              <w:spacing w:after="0"/>
              <w:rPr>
                <w:sz w:val="20"/>
                <w:szCs w:val="20"/>
                <w:color w:val="auto"/>
              </w:rPr>
            </w:pPr>
            <w:r>
              <w:rPr>
                <w:rFonts w:ascii="Arial" w:cs="Arial" w:eastAsia="Arial" w:hAnsi="Arial"/>
                <w:sz w:val="15"/>
                <w:szCs w:val="15"/>
                <w:b w:val="1"/>
                <w:bCs w:val="1"/>
                <w:color w:val="auto"/>
              </w:rPr>
              <w:t>544</w:t>
            </w:r>
          </w:p>
        </w:tc>
        <w:tc>
          <w:tcPr>
            <w:tcW w:w="560" w:type="dxa"/>
            <w:vAlign w:val="bottom"/>
          </w:tcPr>
          <w:p>
            <w:pPr>
              <w:ind w:left="14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13,239</w:t>
            </w:r>
          </w:p>
        </w:tc>
        <w:tc>
          <w:tcPr>
            <w:tcW w:w="50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3,315</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761</w:t>
            </w:r>
          </w:p>
        </w:tc>
        <w:tc>
          <w:tcPr>
            <w:tcW w:w="500" w:type="dxa"/>
            <w:vAlign w:val="bottom"/>
          </w:tcPr>
          <w:p>
            <w:pPr>
              <w:ind w:left="8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14,343</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20"/>
                <w:szCs w:val="20"/>
                <w:color w:val="auto"/>
              </w:rPr>
            </w:pPr>
            <w:r>
              <w:rPr>
                <w:rFonts w:ascii="Arial" w:cs="Arial" w:eastAsia="Arial" w:hAnsi="Arial"/>
                <w:sz w:val="15"/>
                <w:szCs w:val="15"/>
                <w:color w:val="auto"/>
              </w:rPr>
              <w:t>Unpaid principal balance</w:t>
            </w:r>
          </w:p>
        </w:tc>
        <w:tc>
          <w:tcPr>
            <w:tcW w:w="300" w:type="dxa"/>
            <w:vAlign w:val="bottom"/>
          </w:tcPr>
          <w:p>
            <w:pPr>
              <w:spacing w:after="0"/>
              <w:rPr>
                <w:sz w:val="18"/>
                <w:szCs w:val="18"/>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3,402</w:t>
            </w:r>
          </w:p>
        </w:tc>
        <w:tc>
          <w:tcPr>
            <w:tcW w:w="360" w:type="dxa"/>
            <w:vAlign w:val="bottom"/>
          </w:tcPr>
          <w:p>
            <w:pPr>
              <w:spacing w:after="0"/>
              <w:rPr>
                <w:sz w:val="18"/>
                <w:szCs w:val="18"/>
                <w:color w:val="auto"/>
              </w:rPr>
            </w:pPr>
          </w:p>
        </w:tc>
        <w:tc>
          <w:tcPr>
            <w:tcW w:w="1120" w:type="dxa"/>
            <w:vAlign w:val="bottom"/>
          </w:tcPr>
          <w:p>
            <w:pPr>
              <w:jc w:val="right"/>
              <w:ind w:right="187"/>
              <w:spacing w:after="0"/>
              <w:rPr>
                <w:sz w:val="20"/>
                <w:szCs w:val="20"/>
                <w:color w:val="auto"/>
              </w:rPr>
            </w:pPr>
            <w:r>
              <w:rPr>
                <w:rFonts w:ascii="Arial" w:cs="Arial" w:eastAsia="Arial" w:hAnsi="Arial"/>
                <w:sz w:val="15"/>
                <w:szCs w:val="15"/>
                <w:b w:val="1"/>
                <w:bCs w:val="1"/>
                <w:color w:val="auto"/>
              </w:rPr>
              <w:t>517</w:t>
            </w:r>
          </w:p>
        </w:tc>
        <w:tc>
          <w:tcPr>
            <w:tcW w:w="56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13,528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3,442</w:t>
            </w:r>
          </w:p>
        </w:tc>
        <w:tc>
          <w:tcPr>
            <w:tcW w:w="360" w:type="dxa"/>
            <w:vAlign w:val="bottom"/>
          </w:tcPr>
          <w:p>
            <w:pPr>
              <w:spacing w:after="0"/>
              <w:rPr>
                <w:sz w:val="18"/>
                <w:szCs w:val="18"/>
                <w:color w:val="auto"/>
              </w:rPr>
            </w:pP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731</w:t>
            </w:r>
          </w:p>
        </w:tc>
        <w:tc>
          <w:tcPr>
            <w:tcW w:w="500" w:type="dxa"/>
            <w:vAlign w:val="bottom"/>
          </w:tcPr>
          <w:p>
            <w:pPr>
              <w:spacing w:after="0"/>
              <w:rPr>
                <w:sz w:val="18"/>
                <w:szCs w:val="18"/>
                <w:color w:val="auto"/>
              </w:rPr>
            </w:pP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14,383</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0" w:right="20" w:hanging="237"/>
        <w:spacing w:after="0" w:line="226" w:lineRule="auto"/>
        <w:tabs>
          <w:tab w:leader="none" w:pos="233" w:val="left"/>
        </w:tabs>
        <w:numPr>
          <w:ilvl w:val="0"/>
          <w:numId w:val="138"/>
        </w:numPr>
        <w:rPr>
          <w:rFonts w:ascii="Arial" w:cs="Arial" w:eastAsia="Arial" w:hAnsi="Arial"/>
          <w:sz w:val="18"/>
          <w:szCs w:val="18"/>
          <w:color w:val="auto"/>
          <w:vertAlign w:val="superscript"/>
        </w:rPr>
      </w:pPr>
      <w:r>
        <w:rPr>
          <w:rFonts w:ascii="Arial" w:cs="Arial" w:eastAsia="Arial" w:hAnsi="Arial"/>
          <w:sz w:val="14"/>
          <w:szCs w:val="14"/>
          <w:color w:val="auto"/>
        </w:rPr>
        <w:t>Includes nonaccrual loans with a fair value of $28 million and $32 million as of June 30, 2024 and December 31, 2023, respectively. Includes loans that are 90 days or more past due with a fair value of $24 million and $31 million as of June 30, 2024 and December 31, 2023, respectively.</w:t>
      </w:r>
    </w:p>
    <w:p>
      <w:pPr>
        <w:spacing w:after="0" w:line="85"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Changes in Fair Value under the Fair Value Option Election</w:t>
      </w:r>
    </w:p>
    <w:p>
      <w:pPr>
        <w:spacing w:after="0" w:line="76" w:lineRule="exact"/>
        <w:rPr>
          <w:sz w:val="20"/>
          <w:szCs w:val="20"/>
          <w:color w:val="auto"/>
        </w:rPr>
      </w:pPr>
    </w:p>
    <w:p>
      <w:pPr>
        <w:jc w:val="both"/>
        <w:ind w:right="140"/>
        <w:spacing w:after="0" w:line="272" w:lineRule="auto"/>
        <w:rPr>
          <w:sz w:val="20"/>
          <w:szCs w:val="20"/>
          <w:color w:val="auto"/>
        </w:rPr>
      </w:pPr>
      <w:r>
        <w:rPr>
          <w:rFonts w:ascii="Arial" w:cs="Arial" w:eastAsia="Arial" w:hAnsi="Arial"/>
          <w:sz w:val="16"/>
          <w:szCs w:val="16"/>
          <w:color w:val="auto"/>
        </w:rPr>
        <w:t>We recorded losses of $2 million and $47 million for the three and six months ended June 30, 2024, respectively, and losses of $49 million and $22 million for the three and six months ended June 30, 2023, respectively, from changes in the fair value of loans recorded at fair value in “Fair value gains (losses), net” in our condensed consolidated statements of operations and comprehensive income.</w:t>
      </w:r>
    </w:p>
    <w:p>
      <w:pPr>
        <w:spacing w:after="0" w:line="32"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We recorded gains of $17 million and $128 million for the three and six months ended June 30, 2024, respectively, and gains of $219 million and losses of $50 million for the three and six months ended June 30, 2023, respectively, from changes in the fair value of long-term debt recorded at fair value in “Fair value gains (losses), net” in our condensed consolidated statements of operations and comprehensive income.</w:t>
      </w:r>
    </w:p>
    <w:p>
      <w:pPr>
        <w:spacing w:after="0" w:line="121"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14. Commitments and Contingencies</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are party to various types of legal actions and proceedings, including actions brought on behalf of various classes of claimants. We also are subject to regulatory examinations, inquiries and investigations, and other information gathering requests. In some of the matters, indeterminate amounts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This variability in pleadings, together with our and our counsel’s actual experience in litigating or settling claims, leads us to conclude that the monetary relief that may be sought by plaintiffs bears little relevance to the merits or disposition value of claims.</w:t>
      </w:r>
    </w:p>
    <w:p>
      <w:pPr>
        <w:spacing w:after="0" w:line="4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Legal actions and proceedings of all types are subject to many uncertain factors that generally cannot be predicted with assurance. Accordingly, the outcome of any given matter and the amount or range of potential loss at particular points in time is frequently difficult to ascertain. Uncertainties can include how fact finders will evaluate documentary evidence and the credibility and effectiveness of witness testimony, and how the court will apply the law. Disposition valuations are also subject to the uncertainty of how opposing parties and their counsel may view the evidence and applicable law.</w:t>
      </w:r>
    </w:p>
    <w:p>
      <w:pPr>
        <w:spacing w:after="0" w:line="35"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On a quarterly basis, we review relevant information about pending legal actions and proceedings for the purpose of evaluating and revising our contingencies, accruals and disclosures. We establish an accrual only for matters when the likelihood of a loss is probable and we can reasonably estimate the amount of such loss. We are often unable to estimate the possible losses or ranges of losses, particularly for proceedings that are in their early stages of development, where plaintiffs seek indeterminate or unspecified damages, where there may be novel or unsettled legal questions relevant to the proceedings, or where settlement negotiations have not occurred or progressed. Given the uncertainties involved in any action or proceeding, regardless of whether we have established an accrual, the ultimate resolution of certain of these matters may be material to our operating results for a particular period, depending on, among other factors, the size of the loss or liability imposed and the level of our net income or loss for that period.</w:t>
      </w:r>
    </w:p>
    <w:p>
      <w:pPr>
        <w:spacing w:after="0" w:line="40" w:lineRule="exact"/>
        <w:rPr>
          <w:sz w:val="20"/>
          <w:szCs w:val="20"/>
          <w:color w:val="auto"/>
        </w:rPr>
      </w:pPr>
    </w:p>
    <w:p>
      <w:pPr>
        <w:jc w:val="both"/>
        <w:ind w:right="160"/>
        <w:spacing w:after="0" w:line="293" w:lineRule="auto"/>
        <w:rPr>
          <w:sz w:val="20"/>
          <w:szCs w:val="20"/>
          <w:color w:val="auto"/>
        </w:rPr>
      </w:pPr>
      <w:r>
        <w:rPr>
          <w:rFonts w:ascii="Arial" w:cs="Arial" w:eastAsia="Arial" w:hAnsi="Arial"/>
          <w:sz w:val="16"/>
          <w:szCs w:val="16"/>
          <w:color w:val="auto"/>
        </w:rPr>
        <w:t>In addition to the matters specifically described below, we are involved in a number of legal and regulatory proceedings that arise in the ordinary course of business that we do not expect will have a material impact on our business or financial condition.</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Senior Preferred Stock Purchase Agreements Litigation</w:t>
      </w:r>
    </w:p>
    <w:p>
      <w:pPr>
        <w:spacing w:after="0" w:line="81" w:lineRule="exact"/>
        <w:rPr>
          <w:sz w:val="20"/>
          <w:szCs w:val="20"/>
          <w:color w:val="auto"/>
        </w:rPr>
      </w:pPr>
    </w:p>
    <w:p>
      <w:pPr>
        <w:jc w:val="both"/>
        <w:ind w:right="140"/>
        <w:spacing w:after="0" w:line="272" w:lineRule="auto"/>
        <w:rPr>
          <w:sz w:val="20"/>
          <w:szCs w:val="20"/>
          <w:color w:val="auto"/>
        </w:rPr>
      </w:pPr>
      <w:r>
        <w:rPr>
          <w:rFonts w:ascii="Arial" w:cs="Arial" w:eastAsia="Arial" w:hAnsi="Arial"/>
          <w:sz w:val="16"/>
          <w:szCs w:val="16"/>
          <w:color w:val="auto"/>
        </w:rPr>
        <w:t>A consolidated class action (</w:t>
      </w:r>
      <w:r>
        <w:rPr>
          <w:rFonts w:ascii="Arial" w:cs="Arial" w:eastAsia="Arial" w:hAnsi="Arial"/>
          <w:sz w:val="16"/>
          <w:szCs w:val="16"/>
          <w:i w:val="1"/>
          <w:iCs w:val="1"/>
          <w:color w:val="auto"/>
        </w:rPr>
        <w:t>“In re Fannie Mae/Freddie Mac Senior Preferred Stock Purchase Agreement Class Action Litigations”</w:t>
      </w:r>
      <w:r>
        <w:rPr>
          <w:rFonts w:ascii="Arial" w:cs="Arial" w:eastAsia="Arial" w:hAnsi="Arial"/>
          <w:sz w:val="16"/>
          <w:szCs w:val="16"/>
          <w:color w:val="auto"/>
        </w:rPr>
        <w:t xml:space="preserve">) and a non-class action lawsuit, </w:t>
      </w:r>
      <w:r>
        <w:rPr>
          <w:rFonts w:ascii="Arial" w:cs="Arial" w:eastAsia="Arial" w:hAnsi="Arial"/>
          <w:sz w:val="16"/>
          <w:szCs w:val="16"/>
          <w:i w:val="1"/>
          <w:iCs w:val="1"/>
          <w:color w:val="auto"/>
        </w:rPr>
        <w:t>Fairholme Funds v. FHFA</w:t>
      </w:r>
      <w:r>
        <w:rPr>
          <w:rFonts w:ascii="Arial" w:cs="Arial" w:eastAsia="Arial" w:hAnsi="Arial"/>
          <w:sz w:val="16"/>
          <w:szCs w:val="16"/>
          <w:color w:val="auto"/>
        </w:rPr>
        <w:t>, filed by Fannie Mae and Freddie Mac stockholders against us, FHFA as our conservator, and Freddie Mac were filed in the U.S. District Court for the District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353695</wp:posOffset>
            </wp:positionV>
            <wp:extent cx="680593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4" w:name="page115"/>
    <w:bookmarkEnd w:id="114"/>
    <w:p>
      <w:pPr>
        <w:ind w:left="5620"/>
        <w:spacing w:after="0"/>
        <w:rPr>
          <w:sz w:val="20"/>
          <w:szCs w:val="20"/>
          <w:color w:val="auto"/>
        </w:rPr>
      </w:pPr>
      <w:r>
        <w:rPr>
          <w:rFonts w:ascii="Arial" w:cs="Arial" w:eastAsia="Arial" w:hAnsi="Arial"/>
          <w:sz w:val="13"/>
          <w:szCs w:val="13"/>
          <w:color w:val="05314D"/>
        </w:rPr>
        <w:t>Notes to Condensed Consolidated Financial Statements |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24130</wp:posOffset>
            </wp:positionV>
            <wp:extent cx="706501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of Columbia. The lawsuits challenge the August 2012 amendment to each company’s senior preferred stock purchase agreement with Treasury.</w:t>
      </w:r>
    </w:p>
    <w:p>
      <w:pPr>
        <w:spacing w:after="0" w:line="8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Plaintiffs in these lawsuits allege that the net worth sweep dividend provisions of the senior preferred stock that were implemented pursuant to the August 2012 amendments nullified certain of the stockholders’ rights and caused them harm. Plaintiffs in the class action represent a class of Fannie Mae preferred stockholders and classes of Freddie Mac common and preferred stockholders. The cases were tried before a jury at a trial that commenced on July 24, 2023. On August 14, 2023, the jury returned a verdict for the plaintiffs and awarded damages of $299.4 million to Fannie Mae preferred stockholders. On October 24, 2023, the court held that these stockholders were entitled to receive prejudgment interest on the damage award. On March 20, 2024, the court entered final judgment and set the amount of prejudgment interest owed by Fannie Mae at $199.7 million. On April 17, 2024, the defendants filed a motion for judgment as a matter of law, which has been fully briefed. The parties will have 30 days to appeal following the court’s decision on the motion. Until the motion and any subsequent appeals are resolved and any final judgment amount has been paid, post-judgment interest on the damages and prejudgment interest awards will accrue at a rate of 5.01%, starting on March 20, 2024, to be computed daily and compounded annually. We recognized $495 million in 2023 related to the jury verdict and estimated prejudgment interest through December 31, 2023 in “Other expenses, net.” We recognized an additional</w:t>
      </w:r>
    </w:p>
    <w:p>
      <w:pPr>
        <w:spacing w:after="0" w:line="5" w:lineRule="exact"/>
        <w:rPr>
          <w:sz w:val="20"/>
          <w:szCs w:val="20"/>
          <w:color w:val="auto"/>
        </w:rPr>
      </w:pPr>
    </w:p>
    <w:p>
      <w:pPr>
        <w:ind w:right="600"/>
        <w:spacing w:after="0" w:line="272" w:lineRule="auto"/>
        <w:rPr>
          <w:sz w:val="20"/>
          <w:szCs w:val="20"/>
          <w:color w:val="auto"/>
        </w:rPr>
      </w:pPr>
      <w:r>
        <w:rPr>
          <w:rFonts w:ascii="Arial" w:cs="Arial" w:eastAsia="Arial" w:hAnsi="Arial"/>
          <w:sz w:val="16"/>
          <w:szCs w:val="16"/>
          <w:color w:val="auto"/>
        </w:rPr>
        <w:t>$6 million and $11 million of expense for the three and six months ended June 30, 2024, respectively, related to the prejudgment and post-judgment interest.</w:t>
      </w:r>
    </w:p>
    <w:p>
      <w:pPr>
        <w:spacing w:after="0" w:line="128"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15. Regulatory Capital Requirements</w:t>
      </w:r>
    </w:p>
    <w:p>
      <w:pPr>
        <w:spacing w:after="0" w:line="105" w:lineRule="exact"/>
        <w:rPr>
          <w:sz w:val="20"/>
          <w:szCs w:val="20"/>
          <w:color w:val="auto"/>
        </w:rPr>
      </w:pPr>
    </w:p>
    <w:p>
      <w:pPr>
        <w:jc w:val="both"/>
        <w:ind w:right="300"/>
        <w:spacing w:after="0" w:line="281" w:lineRule="auto"/>
        <w:rPr>
          <w:sz w:val="20"/>
          <w:szCs w:val="20"/>
          <w:color w:val="auto"/>
        </w:rPr>
      </w:pPr>
      <w:r>
        <w:rPr>
          <w:rFonts w:ascii="Arial" w:cs="Arial" w:eastAsia="Arial" w:hAnsi="Arial"/>
          <w:sz w:val="16"/>
          <w:szCs w:val="16"/>
          <w:color w:val="auto"/>
        </w:rPr>
        <w:t>The enterprise regulatory capital framework went into effect in February 2021; however, we are not required to hold capital according to the framework’s requirements until the date of termination of our conservatorship, or such later date as may be ordered by FHFA. The table below sets forth information about our capital requirements under the standardized approach of the enterprise regulatory capital framework.</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June 30, 2024</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ind w:left="860"/>
              <w:spacing w:after="0"/>
              <w:rPr>
                <w:sz w:val="20"/>
                <w:szCs w:val="20"/>
                <w:color w:val="auto"/>
              </w:rPr>
            </w:pPr>
            <w:r>
              <w:rPr>
                <w:rFonts w:ascii="Arial" w:cs="Arial" w:eastAsia="Arial" w:hAnsi="Arial"/>
                <w:sz w:val="14"/>
                <w:szCs w:val="14"/>
                <w:b w:val="1"/>
                <w:bCs w:val="1"/>
                <w:color w:val="auto"/>
              </w:rPr>
              <w:t>(Dollars in billions)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66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4,439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6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Risk-weighted assets</w:t>
            </w:r>
          </w:p>
        </w:tc>
        <w:tc>
          <w:tcPr>
            <w:tcW w:w="22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1,275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6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Amounts</w:t>
            </w:r>
          </w:p>
        </w:tc>
        <w:tc>
          <w:tcPr>
            <w:tcW w:w="16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Ratios</w:t>
            </w:r>
          </w:p>
        </w:tc>
        <w:tc>
          <w:tcPr>
            <w:tcW w:w="164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Total Capital</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auto"/>
              </w:rPr>
              <w:t>Total Capital</w:t>
            </w:r>
          </w:p>
        </w:tc>
        <w:tc>
          <w:tcPr>
            <w:tcW w:w="0" w:type="dxa"/>
            <w:vAlign w:val="bottom"/>
          </w:tcPr>
          <w:p>
            <w:pPr>
              <w:spacing w:after="0"/>
              <w:rPr>
                <w:sz w:val="1"/>
                <w:szCs w:val="1"/>
                <w:color w:val="auto"/>
              </w:rPr>
            </w:pPr>
          </w:p>
        </w:tc>
      </w:tr>
      <w:tr>
        <w:trPr>
          <w:trHeight w:val="116"/>
        </w:trPr>
        <w:tc>
          <w:tcPr>
            <w:tcW w:w="2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Available</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Minimum Capital</w:t>
            </w:r>
          </w:p>
        </w:tc>
        <w:tc>
          <w:tcPr>
            <w:tcW w:w="160" w:type="dxa"/>
            <w:vAlign w:val="bottom"/>
          </w:tcPr>
          <w:p>
            <w:pPr>
              <w:spacing w:after="0"/>
              <w:rPr>
                <w:sz w:val="10"/>
                <w:szCs w:val="10"/>
                <w:color w:val="auto"/>
              </w:rPr>
            </w:pPr>
          </w:p>
        </w:tc>
        <w:tc>
          <w:tcPr>
            <w:tcW w:w="1200" w:type="dxa"/>
            <w:vAlign w:val="bottom"/>
            <w:gridSpan w:val="2"/>
            <w:vMerge w:val="restart"/>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Requirement</w:t>
            </w: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Available Capital</w:t>
            </w: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Minimum Capital</w:t>
            </w: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1640" w:type="dxa"/>
            <w:vAlign w:val="bottom"/>
            <w:vMerge w:val="restart"/>
          </w:tcPr>
          <w:p>
            <w:pPr>
              <w:jc w:val="right"/>
              <w:ind w:right="126"/>
              <w:spacing w:after="0"/>
              <w:rPr>
                <w:sz w:val="20"/>
                <w:szCs w:val="20"/>
                <w:color w:val="auto"/>
              </w:rPr>
            </w:pPr>
            <w:r>
              <w:rPr>
                <w:rFonts w:ascii="Arial" w:cs="Arial" w:eastAsia="Arial" w:hAnsi="Arial"/>
                <w:sz w:val="14"/>
                <w:szCs w:val="14"/>
                <w:b w:val="1"/>
                <w:bCs w:val="1"/>
                <w:color w:val="auto"/>
              </w:rPr>
              <w:t>Requirement Ratio</w:t>
            </w:r>
          </w:p>
        </w:tc>
        <w:tc>
          <w:tcPr>
            <w:tcW w:w="0" w:type="dxa"/>
            <w:vAlign w:val="bottom"/>
          </w:tcPr>
          <w:p>
            <w:pPr>
              <w:spacing w:after="0" w:line="20" w:lineRule="exact"/>
              <w:rPr>
                <w:sz w:val="1"/>
                <w:szCs w:val="1"/>
                <w:color w:val="auto"/>
              </w:rPr>
            </w:pPr>
          </w:p>
        </w:tc>
      </w:tr>
      <w:tr>
        <w:trPr>
          <w:trHeight w:val="138"/>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36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(including Buffers)</w:t>
            </w:r>
          </w:p>
        </w:tc>
        <w:tc>
          <w:tcPr>
            <w:tcW w:w="14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660" w:type="dxa"/>
            <w:vAlign w:val="bottom"/>
          </w:tcPr>
          <w:p>
            <w:pPr>
              <w:spacing w:after="0"/>
              <w:rPr>
                <w:sz w:val="15"/>
                <w:szCs w:val="15"/>
                <w:color w:val="auto"/>
              </w:rPr>
            </w:pPr>
          </w:p>
        </w:tc>
        <w:tc>
          <w:tcPr>
            <w:tcW w:w="1320" w:type="dxa"/>
            <w:vAlign w:val="bottom"/>
            <w:gridSpan w:val="3"/>
          </w:tcPr>
          <w:p>
            <w:pPr>
              <w:jc w:val="center"/>
              <w:ind w:right="80"/>
              <w:spacing w:after="0" w:line="180" w:lineRule="exact"/>
              <w:rPr>
                <w:sz w:val="20"/>
                <w:szCs w:val="20"/>
                <w:color w:val="auto"/>
              </w:rPr>
            </w:pPr>
            <w:r>
              <w:rPr>
                <w:rFonts w:ascii="Arial" w:cs="Arial" w:eastAsia="Arial" w:hAnsi="Arial"/>
                <w:sz w:val="14"/>
                <w:szCs w:val="14"/>
                <w:b w:val="1"/>
                <w:bCs w:val="1"/>
                <w:color w:val="auto"/>
                <w:w w:val="96"/>
              </w:rPr>
              <w:t>Capital (Deficit)</w:t>
            </w:r>
            <w:r>
              <w:rPr>
                <w:rFonts w:ascii="Arial" w:cs="Arial" w:eastAsia="Arial" w:hAnsi="Arial"/>
                <w:sz w:val="17"/>
                <w:szCs w:val="17"/>
                <w:b w:val="1"/>
                <w:bCs w:val="1"/>
                <w:color w:val="auto"/>
                <w:w w:val="96"/>
                <w:vertAlign w:val="superscript"/>
              </w:rPr>
              <w:t>(2)</w:t>
            </w:r>
          </w:p>
        </w:tc>
        <w:tc>
          <w:tcPr>
            <w:tcW w:w="16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60" w:type="dxa"/>
            <w:vAlign w:val="bottom"/>
          </w:tcPr>
          <w:p>
            <w:pPr>
              <w:spacing w:after="0"/>
              <w:rPr>
                <w:sz w:val="15"/>
                <w:szCs w:val="15"/>
                <w:color w:val="auto"/>
              </w:rPr>
            </w:pPr>
          </w:p>
        </w:tc>
        <w:tc>
          <w:tcPr>
            <w:tcW w:w="1100" w:type="dxa"/>
            <w:vAlign w:val="bottom"/>
          </w:tcPr>
          <w:p>
            <w:pPr>
              <w:jc w:val="center"/>
              <w:ind w:right="88"/>
              <w:spacing w:after="0"/>
              <w:rPr>
                <w:sz w:val="20"/>
                <w:szCs w:val="20"/>
                <w:color w:val="auto"/>
              </w:rPr>
            </w:pPr>
            <w:r>
              <w:rPr>
                <w:rFonts w:ascii="Arial" w:cs="Arial" w:eastAsia="Arial" w:hAnsi="Arial"/>
                <w:sz w:val="9"/>
                <w:szCs w:val="9"/>
                <w:b w:val="1"/>
                <w:bCs w:val="1"/>
                <w:color w:val="auto"/>
                <w:w w:val="90"/>
              </w:rPr>
              <w:t>(3)</w:t>
            </w:r>
          </w:p>
        </w:tc>
        <w:tc>
          <w:tcPr>
            <w:tcW w:w="100" w:type="dxa"/>
            <w:vAlign w:val="bottom"/>
          </w:tcPr>
          <w:p>
            <w:pPr>
              <w:spacing w:after="0"/>
              <w:rPr>
                <w:sz w:val="15"/>
                <w:szCs w:val="15"/>
                <w:color w:val="auto"/>
              </w:rPr>
            </w:pPr>
          </w:p>
        </w:tc>
        <w:tc>
          <w:tcPr>
            <w:tcW w:w="1440" w:type="dxa"/>
            <w:vAlign w:val="bottom"/>
            <w:gridSpan w:val="2"/>
          </w:tcPr>
          <w:p>
            <w:pPr>
              <w:ind w:left="160"/>
              <w:spacing w:after="0" w:line="180" w:lineRule="exact"/>
              <w:rPr>
                <w:sz w:val="20"/>
                <w:szCs w:val="20"/>
                <w:color w:val="auto"/>
              </w:rPr>
            </w:pPr>
            <w:r>
              <w:rPr>
                <w:rFonts w:ascii="Arial" w:cs="Arial" w:eastAsia="Arial" w:hAnsi="Arial"/>
                <w:sz w:val="14"/>
                <w:szCs w:val="14"/>
                <w:b w:val="1"/>
                <w:bCs w:val="1"/>
                <w:color w:val="auto"/>
              </w:rPr>
              <w:t>(Deficit) Ratio</w:t>
            </w:r>
            <w:r>
              <w:rPr>
                <w:rFonts w:ascii="Arial" w:cs="Arial" w:eastAsia="Arial" w:hAnsi="Arial"/>
                <w:sz w:val="17"/>
                <w:szCs w:val="17"/>
                <w:b w:val="1"/>
                <w:bCs w:val="1"/>
                <w:color w:val="auto"/>
                <w:vertAlign w:val="superscript"/>
              </w:rPr>
              <w:t>(4)</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640" w:type="dxa"/>
            <w:vAlign w:val="bottom"/>
          </w:tcPr>
          <w:p>
            <w:pPr>
              <w:jc w:val="right"/>
              <w:ind w:right="126"/>
              <w:spacing w:after="0"/>
              <w:rPr>
                <w:sz w:val="20"/>
                <w:szCs w:val="20"/>
                <w:color w:val="auto"/>
              </w:rPr>
            </w:pPr>
            <w:r>
              <w:rPr>
                <w:rFonts w:ascii="Arial" w:cs="Arial" w:eastAsia="Arial" w:hAnsi="Arial"/>
                <w:sz w:val="14"/>
                <w:szCs w:val="14"/>
                <w:b w:val="1"/>
                <w:bCs w:val="1"/>
                <w:color w:val="auto"/>
              </w:rPr>
              <w:t>(including Buffers)</w:t>
            </w: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5"/>
                <w:szCs w:val="15"/>
                <w:b w:val="1"/>
                <w:bCs w:val="1"/>
                <w:color w:val="auto"/>
              </w:rPr>
              <w:t>Risk-based capital:</w:t>
            </w:r>
          </w:p>
        </w:tc>
        <w:tc>
          <w:tcPr>
            <w:tcW w:w="22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12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660" w:type="dxa"/>
            <w:vAlign w:val="bottom"/>
          </w:tcPr>
          <w:p>
            <w:pPr>
              <w:ind w:left="220"/>
              <w:spacing w:after="0"/>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(5)</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102</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21"/>
                <w:szCs w:val="21"/>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w w:val="99"/>
              </w:rPr>
              <w:t>(2.0)%</w:t>
            </w:r>
          </w:p>
        </w:tc>
        <w:tc>
          <w:tcPr>
            <w:tcW w:w="100" w:type="dxa"/>
            <w:vAlign w:val="bottom"/>
          </w:tcPr>
          <w:p>
            <w:pPr>
              <w:spacing w:after="0"/>
              <w:rPr>
                <w:sz w:val="21"/>
                <w:szCs w:val="21"/>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17"/>
        </w:trPr>
        <w:tc>
          <w:tcPr>
            <w:tcW w:w="2660" w:type="dxa"/>
            <w:vAlign w:val="bottom"/>
          </w:tcPr>
          <w:p>
            <w:pPr>
              <w:ind w:left="220"/>
              <w:spacing w:after="0"/>
              <w:rPr>
                <w:sz w:val="20"/>
                <w:szCs w:val="20"/>
                <w:color w:val="auto"/>
              </w:rPr>
            </w:pPr>
            <w:r>
              <w:rPr>
                <w:rFonts w:ascii="Arial" w:cs="Arial" w:eastAsia="Arial" w:hAnsi="Arial"/>
                <w:sz w:val="15"/>
                <w:szCs w:val="15"/>
                <w:color w:val="auto"/>
              </w:rPr>
              <w:t>Common equity tier 1 capital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139</w:t>
            </w:r>
          </w:p>
        </w:tc>
        <w:tc>
          <w:tcPr>
            <w:tcW w:w="100" w:type="dxa"/>
            <w:vAlign w:val="bottom"/>
          </w:tcPr>
          <w:p>
            <w:pPr>
              <w:spacing w:after="0"/>
              <w:rPr>
                <w:sz w:val="18"/>
                <w:szCs w:val="18"/>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8"/>
                <w:szCs w:val="18"/>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232"/>
        </w:trPr>
        <w:tc>
          <w:tcPr>
            <w:tcW w:w="26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159</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232"/>
        </w:trPr>
        <w:tc>
          <w:tcPr>
            <w:tcW w:w="2660" w:type="dxa"/>
            <w:vAlign w:val="bottom"/>
          </w:tcPr>
          <w:p>
            <w:pPr>
              <w:ind w:left="220"/>
              <w:spacing w:after="0"/>
              <w:rPr>
                <w:sz w:val="20"/>
                <w:szCs w:val="20"/>
                <w:color w:val="auto"/>
              </w:rPr>
            </w:pPr>
            <w:r>
              <w:rPr>
                <w:rFonts w:ascii="Arial" w:cs="Arial" w:eastAsia="Arial" w:hAnsi="Arial"/>
                <w:sz w:val="15"/>
                <w:szCs w:val="15"/>
                <w:color w:val="auto"/>
              </w:rPr>
              <w:t>Adjusted total capital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184</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227"/>
        </w:trPr>
        <w:tc>
          <w:tcPr>
            <w:tcW w:w="266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60" w:type="dxa"/>
            <w:vAlign w:val="bottom"/>
          </w:tcPr>
          <w:p>
            <w:pPr>
              <w:ind w:left="220"/>
              <w:spacing w:after="0"/>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(6)</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1"/>
                <w:szCs w:val="21"/>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21"/>
                <w:szCs w:val="21"/>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1"/>
                <w:szCs w:val="21"/>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17"/>
        </w:trPr>
        <w:tc>
          <w:tcPr>
            <w:tcW w:w="26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8"/>
                <w:szCs w:val="18"/>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8"/>
                <w:szCs w:val="18"/>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426720</wp:posOffset>
            </wp:positionV>
            <wp:extent cx="680593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5" w:name="page116"/>
    <w:bookmarkEnd w:id="115"/>
    <w:p>
      <w:pPr>
        <w:ind w:left="5660"/>
        <w:spacing w:after="0"/>
        <w:rPr>
          <w:sz w:val="20"/>
          <w:szCs w:val="20"/>
          <w:color w:val="auto"/>
        </w:rPr>
      </w:pPr>
      <w:r>
        <w:rPr>
          <w:rFonts w:ascii="Arial" w:cs="Arial" w:eastAsia="Arial" w:hAnsi="Arial"/>
          <w:sz w:val="13"/>
          <w:szCs w:val="13"/>
          <w:color w:val="05314D"/>
        </w:rPr>
        <w:t>Notes to Condensed Consolidated Financial Statements | Regulatory Capital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December 31, 2023</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ind w:left="860"/>
              <w:spacing w:after="0"/>
              <w:rPr>
                <w:sz w:val="20"/>
                <w:szCs w:val="20"/>
                <w:color w:val="auto"/>
              </w:rPr>
            </w:pPr>
            <w:r>
              <w:rPr>
                <w:rFonts w:ascii="Arial" w:cs="Arial" w:eastAsia="Arial" w:hAnsi="Arial"/>
                <w:sz w:val="14"/>
                <w:szCs w:val="14"/>
                <w:b w:val="1"/>
                <w:bCs w:val="1"/>
                <w:color w:val="auto"/>
              </w:rPr>
              <w:t>(Dollars in billions)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66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4,552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6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Risk-weighted assets</w:t>
            </w:r>
          </w:p>
        </w:tc>
        <w:tc>
          <w:tcPr>
            <w:tcW w:w="22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1,357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6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Amounts</w:t>
            </w:r>
          </w:p>
        </w:tc>
        <w:tc>
          <w:tcPr>
            <w:tcW w:w="16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Ratios</w:t>
            </w:r>
          </w:p>
        </w:tc>
        <w:tc>
          <w:tcPr>
            <w:tcW w:w="164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Total Capital</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auto"/>
              </w:rPr>
              <w:t>Total Capital</w:t>
            </w:r>
          </w:p>
        </w:tc>
        <w:tc>
          <w:tcPr>
            <w:tcW w:w="0" w:type="dxa"/>
            <w:vAlign w:val="bottom"/>
          </w:tcPr>
          <w:p>
            <w:pPr>
              <w:spacing w:after="0"/>
              <w:rPr>
                <w:sz w:val="1"/>
                <w:szCs w:val="1"/>
                <w:color w:val="auto"/>
              </w:rPr>
            </w:pPr>
          </w:p>
        </w:tc>
      </w:tr>
      <w:tr>
        <w:trPr>
          <w:trHeight w:val="116"/>
        </w:trPr>
        <w:tc>
          <w:tcPr>
            <w:tcW w:w="2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Available</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Minimum Capital</w:t>
            </w:r>
          </w:p>
        </w:tc>
        <w:tc>
          <w:tcPr>
            <w:tcW w:w="160" w:type="dxa"/>
            <w:vAlign w:val="bottom"/>
          </w:tcPr>
          <w:p>
            <w:pPr>
              <w:spacing w:after="0"/>
              <w:rPr>
                <w:sz w:val="10"/>
                <w:szCs w:val="10"/>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Available Capital</w:t>
            </w: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Minimum Capital</w:t>
            </w: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2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640" w:type="dxa"/>
            <w:vAlign w:val="bottom"/>
            <w:vMerge w:val="restart"/>
          </w:tcPr>
          <w:p>
            <w:pPr>
              <w:jc w:val="right"/>
              <w:ind w:right="126"/>
              <w:spacing w:after="0"/>
              <w:rPr>
                <w:sz w:val="20"/>
                <w:szCs w:val="20"/>
                <w:color w:val="auto"/>
              </w:rPr>
            </w:pPr>
            <w:r>
              <w:rPr>
                <w:rFonts w:ascii="Arial" w:cs="Arial" w:eastAsia="Arial" w:hAnsi="Arial"/>
                <w:sz w:val="14"/>
                <w:szCs w:val="14"/>
                <w:b w:val="1"/>
                <w:bCs w:val="1"/>
                <w:color w:val="auto"/>
              </w:rPr>
              <w:t>Requirement Ratio</w:t>
            </w:r>
          </w:p>
        </w:tc>
        <w:tc>
          <w:tcPr>
            <w:tcW w:w="0" w:type="dxa"/>
            <w:vAlign w:val="bottom"/>
          </w:tcPr>
          <w:p>
            <w:pPr>
              <w:spacing w:after="0"/>
              <w:rPr>
                <w:sz w:val="1"/>
                <w:szCs w:val="1"/>
                <w:color w:val="auto"/>
              </w:rPr>
            </w:pPr>
          </w:p>
        </w:tc>
      </w:tr>
      <w:tr>
        <w:trPr>
          <w:trHeight w:val="138"/>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36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(including Buffers)</w:t>
            </w:r>
          </w:p>
        </w:tc>
        <w:tc>
          <w:tcPr>
            <w:tcW w:w="14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1320" w:type="dxa"/>
            <w:vAlign w:val="bottom"/>
            <w:gridSpan w:val="3"/>
          </w:tcPr>
          <w:p>
            <w:pPr>
              <w:jc w:val="center"/>
              <w:ind w:right="80"/>
              <w:spacing w:after="0" w:line="167" w:lineRule="exact"/>
              <w:rPr>
                <w:sz w:val="20"/>
                <w:szCs w:val="20"/>
                <w:color w:val="auto"/>
              </w:rPr>
            </w:pPr>
            <w:r>
              <w:rPr>
                <w:rFonts w:ascii="Arial" w:cs="Arial" w:eastAsia="Arial" w:hAnsi="Arial"/>
                <w:sz w:val="14"/>
                <w:szCs w:val="14"/>
                <w:b w:val="1"/>
                <w:bCs w:val="1"/>
                <w:color w:val="auto"/>
                <w:w w:val="96"/>
              </w:rPr>
              <w:t>Capital (Deficit)</w:t>
            </w:r>
            <w:r>
              <w:rPr>
                <w:rFonts w:ascii="Arial" w:cs="Arial" w:eastAsia="Arial" w:hAnsi="Arial"/>
                <w:sz w:val="17"/>
                <w:szCs w:val="17"/>
                <w:b w:val="1"/>
                <w:bCs w:val="1"/>
                <w:color w:val="auto"/>
                <w:w w:val="96"/>
                <w:vertAlign w:val="superscript"/>
              </w:rPr>
              <w:t>(2)</w:t>
            </w:r>
          </w:p>
        </w:tc>
        <w:tc>
          <w:tcPr>
            <w:tcW w:w="1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60" w:type="dxa"/>
            <w:vAlign w:val="bottom"/>
          </w:tcPr>
          <w:p>
            <w:pPr>
              <w:spacing w:after="0"/>
              <w:rPr>
                <w:sz w:val="14"/>
                <w:szCs w:val="14"/>
                <w:color w:val="auto"/>
              </w:rPr>
            </w:pPr>
          </w:p>
        </w:tc>
        <w:tc>
          <w:tcPr>
            <w:tcW w:w="1100" w:type="dxa"/>
            <w:vAlign w:val="bottom"/>
          </w:tcPr>
          <w:p>
            <w:pPr>
              <w:jc w:val="center"/>
              <w:ind w:right="88"/>
              <w:spacing w:after="0"/>
              <w:rPr>
                <w:sz w:val="20"/>
                <w:szCs w:val="20"/>
                <w:color w:val="auto"/>
              </w:rPr>
            </w:pPr>
            <w:r>
              <w:rPr>
                <w:rFonts w:ascii="Arial" w:cs="Arial" w:eastAsia="Arial" w:hAnsi="Arial"/>
                <w:sz w:val="9"/>
                <w:szCs w:val="9"/>
                <w:b w:val="1"/>
                <w:bCs w:val="1"/>
                <w:color w:val="auto"/>
                <w:w w:val="90"/>
              </w:rPr>
              <w:t>(3)</w:t>
            </w:r>
          </w:p>
        </w:tc>
        <w:tc>
          <w:tcPr>
            <w:tcW w:w="100" w:type="dxa"/>
            <w:vAlign w:val="bottom"/>
          </w:tcPr>
          <w:p>
            <w:pPr>
              <w:spacing w:after="0"/>
              <w:rPr>
                <w:sz w:val="14"/>
                <w:szCs w:val="14"/>
                <w:color w:val="auto"/>
              </w:rPr>
            </w:pPr>
          </w:p>
        </w:tc>
        <w:tc>
          <w:tcPr>
            <w:tcW w:w="1440" w:type="dxa"/>
            <w:vAlign w:val="bottom"/>
            <w:gridSpan w:val="2"/>
          </w:tcPr>
          <w:p>
            <w:pPr>
              <w:ind w:left="160"/>
              <w:spacing w:after="0" w:line="167" w:lineRule="exact"/>
              <w:rPr>
                <w:sz w:val="20"/>
                <w:szCs w:val="20"/>
                <w:color w:val="auto"/>
              </w:rPr>
            </w:pPr>
            <w:r>
              <w:rPr>
                <w:rFonts w:ascii="Arial" w:cs="Arial" w:eastAsia="Arial" w:hAnsi="Arial"/>
                <w:sz w:val="14"/>
                <w:szCs w:val="14"/>
                <w:b w:val="1"/>
                <w:bCs w:val="1"/>
                <w:color w:val="auto"/>
              </w:rPr>
              <w:t>(Deficit) Ratio</w:t>
            </w:r>
            <w:r>
              <w:rPr>
                <w:rFonts w:ascii="Arial" w:cs="Arial" w:eastAsia="Arial" w:hAnsi="Arial"/>
                <w:sz w:val="17"/>
                <w:szCs w:val="17"/>
                <w:b w:val="1"/>
                <w:bCs w:val="1"/>
                <w:color w:val="auto"/>
                <w:vertAlign w:val="superscript"/>
              </w:rPr>
              <w:t>(4)</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640" w:type="dxa"/>
            <w:vAlign w:val="bottom"/>
          </w:tcPr>
          <w:p>
            <w:pPr>
              <w:jc w:val="right"/>
              <w:ind w:right="126"/>
              <w:spacing w:after="0"/>
              <w:rPr>
                <w:sz w:val="20"/>
                <w:szCs w:val="20"/>
                <w:color w:val="auto"/>
              </w:rPr>
            </w:pPr>
            <w:r>
              <w:rPr>
                <w:rFonts w:ascii="Arial" w:cs="Arial" w:eastAsia="Arial" w:hAnsi="Arial"/>
                <w:sz w:val="14"/>
                <w:szCs w:val="14"/>
                <w:b w:val="1"/>
                <w:bCs w:val="1"/>
                <w:color w:val="auto"/>
              </w:rPr>
              <w:t>(including Buffers)</w:t>
            </w: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5"/>
                <w:szCs w:val="15"/>
                <w:b w:val="1"/>
                <w:bCs w:val="1"/>
                <w:color w:val="auto"/>
              </w:rPr>
              <w:t>Risk-based capital:</w:t>
            </w:r>
          </w:p>
        </w:tc>
        <w:tc>
          <w:tcPr>
            <w:tcW w:w="22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12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660" w:type="dxa"/>
            <w:vAlign w:val="bottom"/>
          </w:tcPr>
          <w:p>
            <w:pPr>
              <w:ind w:left="220"/>
              <w:spacing w:after="0"/>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(5)</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1"/>
                <w:szCs w:val="21"/>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w w:val="99"/>
              </w:rPr>
              <w:t>(2.5)%</w:t>
            </w:r>
          </w:p>
        </w:tc>
        <w:tc>
          <w:tcPr>
            <w:tcW w:w="100" w:type="dxa"/>
            <w:vAlign w:val="bottom"/>
          </w:tcPr>
          <w:p>
            <w:pPr>
              <w:spacing w:after="0"/>
              <w:rPr>
                <w:sz w:val="21"/>
                <w:szCs w:val="21"/>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17"/>
        </w:trPr>
        <w:tc>
          <w:tcPr>
            <w:tcW w:w="2660" w:type="dxa"/>
            <w:vAlign w:val="bottom"/>
          </w:tcPr>
          <w:p>
            <w:pPr>
              <w:ind w:left="220"/>
              <w:spacing w:after="0"/>
              <w:rPr>
                <w:sz w:val="20"/>
                <w:szCs w:val="20"/>
                <w:color w:val="auto"/>
              </w:rPr>
            </w:pPr>
            <w:r>
              <w:rPr>
                <w:rFonts w:ascii="Arial" w:cs="Arial" w:eastAsia="Arial" w:hAnsi="Arial"/>
                <w:sz w:val="15"/>
                <w:szCs w:val="15"/>
                <w:color w:val="auto"/>
              </w:rPr>
              <w:t>Common equity tier 1 capital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18"/>
                <w:szCs w:val="18"/>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8"/>
                <w:szCs w:val="18"/>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32"/>
        </w:trPr>
        <w:tc>
          <w:tcPr>
            <w:tcW w:w="26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81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160</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232"/>
        </w:trPr>
        <w:tc>
          <w:tcPr>
            <w:tcW w:w="2660" w:type="dxa"/>
            <w:vAlign w:val="bottom"/>
          </w:tcPr>
          <w:p>
            <w:pPr>
              <w:ind w:left="220"/>
              <w:spacing w:after="0"/>
              <w:rPr>
                <w:sz w:val="20"/>
                <w:szCs w:val="20"/>
                <w:color w:val="auto"/>
              </w:rPr>
            </w:pPr>
            <w:r>
              <w:rPr>
                <w:rFonts w:ascii="Arial" w:cs="Arial" w:eastAsia="Arial" w:hAnsi="Arial"/>
                <w:sz w:val="15"/>
                <w:szCs w:val="15"/>
                <w:color w:val="auto"/>
              </w:rPr>
              <w:t>Adjusted total capital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188</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227"/>
        </w:trPr>
        <w:tc>
          <w:tcPr>
            <w:tcW w:w="266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60" w:type="dxa"/>
            <w:vAlign w:val="bottom"/>
          </w:tcPr>
          <w:p>
            <w:pPr>
              <w:ind w:left="220"/>
              <w:spacing w:after="0"/>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(6)</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1"/>
                <w:szCs w:val="21"/>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(0.9)</w:t>
            </w:r>
          </w:p>
        </w:tc>
        <w:tc>
          <w:tcPr>
            <w:tcW w:w="100" w:type="dxa"/>
            <w:vAlign w:val="bottom"/>
          </w:tcPr>
          <w:p>
            <w:pPr>
              <w:spacing w:after="0"/>
              <w:rPr>
                <w:sz w:val="21"/>
                <w:szCs w:val="21"/>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1"/>
                <w:szCs w:val="21"/>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17"/>
        </w:trPr>
        <w:tc>
          <w:tcPr>
            <w:tcW w:w="26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8"/>
                <w:szCs w:val="18"/>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8"/>
                <w:szCs w:val="18"/>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20" w:hanging="217"/>
        <w:spacing w:after="0"/>
        <w:tabs>
          <w:tab w:leader="none" w:pos="220" w:val="left"/>
        </w:tabs>
        <w:numPr>
          <w:ilvl w:val="0"/>
          <w:numId w:val="139"/>
        </w:numPr>
        <w:rPr>
          <w:rFonts w:ascii="Arial" w:cs="Arial" w:eastAsia="Arial" w:hAnsi="Arial"/>
          <w:sz w:val="18"/>
          <w:szCs w:val="18"/>
          <w:color w:val="auto"/>
          <w:vertAlign w:val="superscript"/>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37" w:lineRule="exact"/>
        <w:rPr>
          <w:rFonts w:ascii="Arial" w:cs="Arial" w:eastAsia="Arial" w:hAnsi="Arial"/>
          <w:sz w:val="18"/>
          <w:szCs w:val="18"/>
          <w:color w:val="auto"/>
          <w:vertAlign w:val="superscript"/>
        </w:rPr>
      </w:pPr>
    </w:p>
    <w:p>
      <w:pPr>
        <w:ind w:left="240" w:right="120" w:hanging="237"/>
        <w:spacing w:after="0" w:line="232" w:lineRule="auto"/>
        <w:tabs>
          <w:tab w:leader="none" w:pos="233" w:val="left"/>
        </w:tabs>
        <w:numPr>
          <w:ilvl w:val="0"/>
          <w:numId w:val="139"/>
        </w:numPr>
        <w:rPr>
          <w:rFonts w:ascii="Arial" w:cs="Arial" w:eastAsia="Arial" w:hAnsi="Arial"/>
          <w:sz w:val="18"/>
          <w:szCs w:val="18"/>
          <w:color w:val="auto"/>
          <w:vertAlign w:val="superscript"/>
        </w:rPr>
      </w:pPr>
      <w:r>
        <w:rPr>
          <w:rFonts w:ascii="Arial" w:cs="Arial" w:eastAsia="Arial" w:hAnsi="Arial"/>
          <w:sz w:val="14"/>
          <w:szCs w:val="14"/>
          <w:color w:val="auto"/>
        </w:rPr>
        <w:t>Available capital (deficit) for all line items excludes the stated value of the senior preferred stock ($120.8 billion). Available capital (deficit) for all line items except total capital and core capital also deducts a portion of deferred tax assets. Deferred tax assets arising from temporary differences between GAAP and tax requirements are deducted from capital to the extent they exceed 10% of common equity. As of June 30, 2024 and December 31, 2023, this resulted in the full deduction of deferred tax assets ($11.0 billion and $11.7 billion, respectively) from our available capital (deficit). Available capital (deficit) for common equity tier 1 capital also excludes the value of the perpetual, non-cumulative preferred stock ($19.1 billion) as of June 30, 2024 and December 31, 2023.</w:t>
      </w:r>
    </w:p>
    <w:p>
      <w:pPr>
        <w:spacing w:after="0" w:line="29" w:lineRule="exact"/>
        <w:rPr>
          <w:rFonts w:ascii="Arial" w:cs="Arial" w:eastAsia="Arial" w:hAnsi="Arial"/>
          <w:sz w:val="18"/>
          <w:szCs w:val="18"/>
          <w:color w:val="auto"/>
          <w:vertAlign w:val="superscript"/>
        </w:rPr>
      </w:pPr>
    </w:p>
    <w:p>
      <w:pPr>
        <w:ind w:left="240" w:right="60" w:hanging="237"/>
        <w:spacing w:after="0" w:line="238" w:lineRule="auto"/>
        <w:tabs>
          <w:tab w:leader="none" w:pos="233" w:val="left"/>
        </w:tabs>
        <w:numPr>
          <w:ilvl w:val="0"/>
          <w:numId w:val="139"/>
        </w:numPr>
        <w:rPr>
          <w:rFonts w:ascii="Arial" w:cs="Arial" w:eastAsia="Arial" w:hAnsi="Arial"/>
          <w:sz w:val="18"/>
          <w:szCs w:val="18"/>
          <w:color w:val="auto"/>
          <w:vertAlign w:val="superscript"/>
        </w:rPr>
      </w:pPr>
      <w:r>
        <w:rPr>
          <w:rFonts w:ascii="Arial" w:cs="Arial" w:eastAsia="Arial" w:hAnsi="Arial"/>
          <w:sz w:val="14"/>
          <w:szCs w:val="14"/>
          <w:color w:val="auto"/>
        </w:rPr>
        <w:t>The prescribed capital buffers represent the amount of capital we are required to hold above the minimum risk-based and leverage capital requirements. The applicable buffer for risk-based common equity tier 1 capital, tier 1 capital, and adjusted total capital is the PCCBA, which is composed of a stress capital buffer, a stability capital buffer, and a countercyclical capital buffer. The PCCBA must be comprised entirely of common equity tier 1 capital. The applicable buffer for leverage tier 1 capital is the PLBA. The stress capital buffer and countercyclical capital buffer are each calculated by multiplying prescribed factors by adjusted total assets as of the last day of the previous calendar quarter. The stability capital buffer is based on our share of mortgage debt outstanding. The prescribed leverage buffer for June 30, 2024 and December 31, 2023 was set at 50% of the June 30, 2024 and December 31, 2023 stability capital buffer, respectively.</w:t>
      </w:r>
    </w:p>
    <w:p>
      <w:pPr>
        <w:spacing w:after="0" w:line="1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39"/>
        </w:numPr>
        <w:rPr>
          <w:rFonts w:ascii="Arial" w:cs="Arial" w:eastAsia="Arial" w:hAnsi="Arial"/>
          <w:sz w:val="9"/>
          <w:szCs w:val="9"/>
          <w:color w:val="auto"/>
        </w:rPr>
      </w:pPr>
      <w:r>
        <w:rPr>
          <w:rFonts w:ascii="Arial" w:cs="Arial" w:eastAsia="Arial" w:hAnsi="Arial"/>
          <w:sz w:val="14"/>
          <w:szCs w:val="14"/>
          <w:color w:val="auto"/>
        </w:rPr>
        <w:t>Ratios are negative because we had a deficit in available capital for each tier of capital.</w:t>
      </w:r>
    </w:p>
    <w:p>
      <w:pPr>
        <w:spacing w:after="0" w:line="45" w:lineRule="exact"/>
        <w:rPr>
          <w:rFonts w:ascii="Arial" w:cs="Arial" w:eastAsia="Arial" w:hAnsi="Arial"/>
          <w:sz w:val="9"/>
          <w:szCs w:val="9"/>
          <w:color w:val="auto"/>
        </w:rPr>
      </w:pPr>
    </w:p>
    <w:p>
      <w:pPr>
        <w:ind w:left="240" w:right="60" w:hanging="237"/>
        <w:spacing w:after="0" w:line="259" w:lineRule="auto"/>
        <w:tabs>
          <w:tab w:leader="none" w:pos="233" w:val="left"/>
        </w:tabs>
        <w:numPr>
          <w:ilvl w:val="0"/>
          <w:numId w:val="139"/>
        </w:numPr>
        <w:rPr>
          <w:rFonts w:ascii="Arial" w:cs="Arial" w:eastAsia="Arial" w:hAnsi="Arial"/>
          <w:sz w:val="9"/>
          <w:szCs w:val="9"/>
          <w:color w:val="auto"/>
        </w:rPr>
      </w:pPr>
      <w:r>
        <w:rPr>
          <w:rFonts w:ascii="Arial" w:cs="Arial" w:eastAsia="Arial" w:hAnsi="Arial"/>
          <w:sz w:val="14"/>
          <w:szCs w:val="14"/>
          <w:color w:val="auto"/>
        </w:rPr>
        <w:t>The sum of (a) core capital (see definition in footnote 6 below); and (b) a general allowance for foreclosure losses, which (i) shall include an allowance for portfolio mortgage losses, an allowance for non-reimbursable foreclosure costs on government claims, and an allowance for liabilities reflected on the balance sheet for estimated foreclosure losses on mortgage-backed securities; and (ii) shall not include any reserves made or held against specific assets; and (c) any other amounts from sources of funds available to absorb losses that the Director of FHFA by regulation determines are appropriate to include in determining total capital.</w:t>
      </w:r>
    </w:p>
    <w:p>
      <w:pPr>
        <w:spacing w:after="0" w:line="1" w:lineRule="exact"/>
        <w:rPr>
          <w:rFonts w:ascii="Arial" w:cs="Arial" w:eastAsia="Arial" w:hAnsi="Arial"/>
          <w:sz w:val="9"/>
          <w:szCs w:val="9"/>
          <w:color w:val="auto"/>
        </w:rPr>
      </w:pPr>
    </w:p>
    <w:p>
      <w:pPr>
        <w:ind w:left="240" w:right="80" w:hanging="237"/>
        <w:spacing w:after="0" w:line="264" w:lineRule="auto"/>
        <w:tabs>
          <w:tab w:leader="none" w:pos="233" w:val="left"/>
        </w:tabs>
        <w:numPr>
          <w:ilvl w:val="0"/>
          <w:numId w:val="139"/>
        </w:numPr>
        <w:rPr>
          <w:rFonts w:ascii="Arial" w:cs="Arial" w:eastAsia="Arial" w:hAnsi="Arial"/>
          <w:sz w:val="9"/>
          <w:szCs w:val="9"/>
          <w:color w:val="auto"/>
        </w:rPr>
      </w:pPr>
      <w:r>
        <w:rPr>
          <w:rFonts w:ascii="Arial" w:cs="Arial" w:eastAsia="Arial" w:hAnsi="Arial"/>
          <w:sz w:val="14"/>
          <w:szCs w:val="14"/>
          <w:color w:val="auto"/>
        </w:rPr>
        <w:t>The sum of (a) the stated value of our outstanding common stock (common stock less treasury stock); (b) the stated value of our outstanding perpetual, noncumulative preferred stock; (c) our paid-in capital; and (d) our retained earnings (accumulated deficit). Core capital does not include: (a) accumulated other comprehensive income or (b) senior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354965</wp:posOffset>
            </wp:positionV>
            <wp:extent cx="680593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6" w:name="page117"/>
    <w:bookmarkEnd w:id="116"/>
    <w:p>
      <w:pPr>
        <w:ind w:left="7580"/>
        <w:spacing w:after="0"/>
        <w:rPr>
          <w:sz w:val="20"/>
          <w:szCs w:val="20"/>
          <w:color w:val="auto"/>
        </w:rPr>
      </w:pPr>
      <w:r>
        <w:rPr>
          <w:rFonts w:ascii="Arial" w:cs="Arial" w:eastAsia="Arial" w:hAnsi="Arial"/>
          <w:sz w:val="14"/>
          <w:szCs w:val="14"/>
          <w:color w:val="05314D"/>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17145</wp:posOffset>
            </wp:positionV>
            <wp:extent cx="706501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3. Quantitative and Qualitative Disclosures about Market Risk</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market risk is set forth in “MD&amp;A—Risk Management—Market Risk Management, including Interest-Rate Risk Management.”</w:t>
      </w:r>
    </w:p>
    <w:p>
      <w:pPr>
        <w:spacing w:after="0" w:line="192"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4. Controls and Procedures</w:t>
      </w:r>
    </w:p>
    <w:p>
      <w:pPr>
        <w:spacing w:after="0" w:line="11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Overview</w:t>
      </w:r>
    </w:p>
    <w:p>
      <w:pPr>
        <w:spacing w:after="0" w:line="7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are required under applicable laws and regulations to maintain controls and procedures, which include disclosure controls and procedures as well as internal control over financial reporting, as further described below.</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Evaluation of Disclosure Controls and Procedures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Disclosure Controls and Procedures</w:t>
      </w:r>
    </w:p>
    <w:p>
      <w:pPr>
        <w:spacing w:after="0" w:line="8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Disclosure controls and procedures refer to controls and other procedures designed to provide reasonable assurance that information required to be disclosed in the reports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8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Evaluation of Disclosure Controls and Procedures</w:t>
      </w:r>
    </w:p>
    <w:p>
      <w:pPr>
        <w:spacing w:after="0" w:line="80"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As required by Rule 13a-15 under the Exchange Act, management has evaluated, with the participation of our Chief Executive Officer and Chief Financial Officer, the effectiveness of our disclosure controls and procedures in effect as of June 30, 2024, the end of the period covered by this report. As a result of management’s evaluation, our Chief Executive Officer and Chief Financial Officer concluded that our disclosure controls and procedures were not effective at a reasonable assurance level as of June 30, 2024, or as of the date of filing this report.</w:t>
      </w:r>
    </w:p>
    <w:p>
      <w:pPr>
        <w:spacing w:after="0" w:line="48"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Our disclosure controls and procedures were not effective as of June 30, 2024, or as of the date of filing this report because they did not adequately ensure the accumulation and communication to management of information known to FHFA that is needed to meet our disclosure obligations under the federal securities laws. As a result, we were not able to rely upon the disclosure controls and procedures that were in place as of June 30, 2024, or as of the date of this filing, and we continue to have a material weakness in our internal control over financial reporting. This material weakness is described in more detail below under “Description of Material Weakness.” Based on discussions with FHFA and the structural nature of this material weakness, we do not expect to remediate this material weakness while we are under conservatorship.</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Description of Material Weakness</w:t>
      </w:r>
    </w:p>
    <w:p>
      <w:pPr>
        <w:spacing w:after="0" w:line="63"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The Public Company Accounting Oversight Board’s Auditing Standard 2201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determined that we continued to have the following material weakness as of June 30, 2024, and as of the date of filing this report:</w:t>
      </w:r>
    </w:p>
    <w:p>
      <w:pPr>
        <w:spacing w:after="0" w:line="100" w:lineRule="exact"/>
        <w:rPr>
          <w:sz w:val="20"/>
          <w:szCs w:val="20"/>
          <w:color w:val="auto"/>
        </w:rPr>
      </w:pPr>
    </w:p>
    <w:p>
      <w:pPr>
        <w:ind w:left="620" w:hanging="307"/>
        <w:spacing w:after="0" w:line="262" w:lineRule="auto"/>
        <w:tabs>
          <w:tab w:leader="none" w:pos="612" w:val="left"/>
        </w:tabs>
        <w:numPr>
          <w:ilvl w:val="0"/>
          <w:numId w:val="140"/>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We have been under the conservatorship of FHFA since September 2008. Under the GSE Act, FHFA is an</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agency that currently functions as both our conservator and our regulator with respect to our safety, soundness, and mission. Because of the nature of the conservatorship under the GSE Act, which places us under the “control” of FHFA (as that term is defined by securities laws), some of the information that we may need to meet our disclosure obligations may be solely within the knowledge of FHFA. As our conservator, FHFA has the power to take actions without our knowledge that could be material to our stockholders and other stakeholders, and could significantly affect our financial performance or our continued existence as an ongoing business. Although we and FHFA attempted to design and implement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501015</wp:posOffset>
            </wp:positionV>
            <wp:extent cx="713867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114</w:t>
            </w:r>
          </w:p>
        </w:tc>
      </w:tr>
      <w:tr>
        <w:trPr>
          <w:trHeight w:val="220"/>
        </w:trPr>
        <w:tc>
          <w:tcPr>
            <w:tcW w:w="6900" w:type="dxa"/>
            <w:vAlign w:val="bottom"/>
            <w:tcBorders>
              <w:bottom w:val="single" w:sz="8" w:color="9A9A9A"/>
            </w:tcBorders>
          </w:tcPr>
          <w:p>
            <w:pPr>
              <w:spacing w:after="0"/>
              <w:rPr>
                <w:sz w:val="19"/>
                <w:szCs w:val="19"/>
                <w:color w:val="auto"/>
              </w:rPr>
            </w:pPr>
          </w:p>
        </w:tc>
        <w:tc>
          <w:tcPr>
            <w:tcW w:w="43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7" w:name="page118"/>
    <w:bookmarkEnd w:id="117"/>
    <w:p>
      <w:pPr>
        <w:ind w:left="9600"/>
        <w:spacing w:after="0"/>
        <w:rPr>
          <w:sz w:val="20"/>
          <w:szCs w:val="20"/>
          <w:color w:val="auto"/>
        </w:rPr>
      </w:pPr>
      <w:r>
        <w:rPr>
          <w:rFonts w:ascii="Arial" w:cs="Arial" w:eastAsia="Arial" w:hAnsi="Arial"/>
          <w:sz w:val="14"/>
          <w:szCs w:val="14"/>
          <w:color w:val="001543"/>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right="120"/>
        <w:spacing w:after="0" w:line="263" w:lineRule="auto"/>
        <w:rPr>
          <w:sz w:val="20"/>
          <w:szCs w:val="20"/>
          <w:color w:val="auto"/>
        </w:rPr>
      </w:pPr>
      <w:r>
        <w:rPr>
          <w:rFonts w:ascii="Arial" w:cs="Arial" w:eastAsia="Arial" w:hAnsi="Arial"/>
          <w:sz w:val="16"/>
          <w:szCs w:val="16"/>
          <w:color w:val="auto"/>
        </w:rPr>
        <w:t>disclosure policies and procedures that would account for the conservatorship and accomplish the same objectives as a disclosure controls and procedures policy of a typical reporting company, there are inherent structural limitations on our ability to design, implement, operate, and test effective disclosure controls and procedures. As both our regulator and our conservator under the GSE Act, FHFA is limited in its ability to design and implement a complete set of disclosure controls and procedures relating to Fannie Mae, particularly with respect to current reporting pursuant to Form 8-K. Similarly, as a regulated entity, we are limited in our ability to design, implement, operate, and test the controls and procedures for which FHFA is responsible.</w:t>
      </w:r>
    </w:p>
    <w:p>
      <w:pPr>
        <w:spacing w:after="0" w:line="41"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Due to these circumstances, we have not been able to update our disclosure controls and procedures in a manner that adequately ensures the accumulation and communication to management of information known to FHFA that is needed to meet our disclosure obligations under the federal securities laws, including disclosures affecting our condensed consolidated financial statements. As a result, we did not maintain effective controls and procedures designed to ensure complete and accurate disclosure as required by GAAP as of June 30, 2024, or as of the date of filing this report. Based on discussions with FHFA and the structural nature of this weakness, we do not expect to remediate this material weakness while we are under conservatorship.</w:t>
      </w:r>
    </w:p>
    <w:p>
      <w:pPr>
        <w:spacing w:after="0" w:line="285"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Mitigating Actions Related to Material Weakness</w:t>
      </w:r>
    </w:p>
    <w:p>
      <w:pPr>
        <w:spacing w:after="0" w:line="63"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We and FHFA have engaged in the following practices intended to permit accumulation and communication to management of information needed to meet our disclosure obligations under the federal securities laws:</w:t>
      </w:r>
    </w:p>
    <w:p>
      <w:pPr>
        <w:spacing w:after="0" w:line="2" w:lineRule="exact"/>
        <w:rPr>
          <w:sz w:val="20"/>
          <w:szCs w:val="20"/>
          <w:color w:val="auto"/>
        </w:rPr>
      </w:pPr>
    </w:p>
    <w:p>
      <w:pPr>
        <w:ind w:left="620" w:right="180" w:hanging="307"/>
        <w:spacing w:after="0" w:line="293" w:lineRule="auto"/>
        <w:tabs>
          <w:tab w:leader="none" w:pos="61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FHFA has established the Division of Conservatorship Oversight and Readiness, which is intended to facilitate operation of the company with the oversight of the conservator.</w:t>
      </w:r>
    </w:p>
    <w:p>
      <w:pPr>
        <w:spacing w:after="0" w:line="14" w:lineRule="exact"/>
        <w:rPr>
          <w:rFonts w:ascii="Arial" w:cs="Arial" w:eastAsia="Arial" w:hAnsi="Arial"/>
          <w:sz w:val="16"/>
          <w:szCs w:val="16"/>
          <w:color w:val="auto"/>
        </w:rPr>
      </w:pPr>
    </w:p>
    <w:p>
      <w:pPr>
        <w:ind w:left="620" w:right="60" w:hanging="307"/>
        <w:spacing w:after="0" w:line="293" w:lineRule="auto"/>
        <w:tabs>
          <w:tab w:leader="none" w:pos="61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We have provided drafts of our SEC filings to FHFA personnel for their review and comment prior to filing. We also have provided drafts of external press releases, statements, and speeches to FHFA personnel for their review and comment prior to release.</w:t>
      </w:r>
    </w:p>
    <w:p>
      <w:pPr>
        <w:spacing w:after="0" w:line="27" w:lineRule="exact"/>
        <w:rPr>
          <w:rFonts w:ascii="Arial" w:cs="Arial" w:eastAsia="Arial" w:hAnsi="Arial"/>
          <w:sz w:val="16"/>
          <w:szCs w:val="16"/>
          <w:color w:val="auto"/>
        </w:rPr>
      </w:pPr>
    </w:p>
    <w:p>
      <w:pPr>
        <w:ind w:left="620" w:right="40" w:hanging="307"/>
        <w:spacing w:after="0" w:line="262" w:lineRule="auto"/>
        <w:tabs>
          <w:tab w:leader="none" w:pos="61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FHFA personnel, including senior officials, have reviewed our SEC filings prior to filing, including this quarterly report on Form 10-Q for the quarter ended June 30, 2024 (“Second Quarter 2024 Form 10-Q”), and engaged in discussions regarding issues associated with the information contained in those filings. Prior to filing our Second Quarter 2024 Form 10-Q, FHFA provided Fannie Mae management with written acknowledgment that it had reviewed the Second Quarter 2024 Form 10-Q, and it was not aware of any material misstatements or omissions in the Second Quarter 2024 Form 10-Q and had no objection to our filing the Second Quarter 2024 Form 10-Q.</w:t>
      </w:r>
    </w:p>
    <w:p>
      <w:pPr>
        <w:spacing w:after="0" w:line="52" w:lineRule="exact"/>
        <w:rPr>
          <w:rFonts w:ascii="Arial" w:cs="Arial" w:eastAsia="Arial" w:hAnsi="Arial"/>
          <w:sz w:val="16"/>
          <w:szCs w:val="16"/>
          <w:color w:val="auto"/>
        </w:rPr>
      </w:pPr>
    </w:p>
    <w:p>
      <w:pPr>
        <w:ind w:left="620" w:hanging="307"/>
        <w:spacing w:after="0"/>
        <w:tabs>
          <w:tab w:leader="none" w:pos="6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Our senior management meets regularly with senior leadership at FHFA, including, but not limited to, the Director.</w:t>
      </w:r>
    </w:p>
    <w:p>
      <w:pPr>
        <w:spacing w:after="0" w:line="86" w:lineRule="exact"/>
        <w:rPr>
          <w:rFonts w:ascii="Arial" w:cs="Arial" w:eastAsia="Arial" w:hAnsi="Arial"/>
          <w:sz w:val="16"/>
          <w:szCs w:val="16"/>
          <w:color w:val="auto"/>
        </w:rPr>
      </w:pPr>
    </w:p>
    <w:p>
      <w:pPr>
        <w:ind w:left="620" w:right="620" w:hanging="307"/>
        <w:spacing w:after="0" w:line="293" w:lineRule="auto"/>
        <w:tabs>
          <w:tab w:leader="none" w:pos="61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FHFA representatives attend meetings frequently with various groups within the company to enhance the flow of information and to provide oversight on a variety of matters, including accounting, credit and market risk management, external communications, and legal matters.</w:t>
      </w:r>
    </w:p>
    <w:p>
      <w:pPr>
        <w:spacing w:after="0" w:line="14" w:lineRule="exact"/>
        <w:rPr>
          <w:rFonts w:ascii="Arial" w:cs="Arial" w:eastAsia="Arial" w:hAnsi="Arial"/>
          <w:sz w:val="16"/>
          <w:szCs w:val="16"/>
          <w:color w:val="auto"/>
        </w:rPr>
      </w:pPr>
    </w:p>
    <w:p>
      <w:pPr>
        <w:ind w:left="620" w:right="500" w:hanging="307"/>
        <w:spacing w:after="0" w:line="293" w:lineRule="auto"/>
        <w:tabs>
          <w:tab w:leader="none" w:pos="61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Senior officials within FHFA’s Office of the Chief Accountant have met frequently with our senior finance executives regarding our accounting policies, practices, and procedures.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Changes in Internal Control Over Financial Reporting</w:t>
      </w:r>
    </w:p>
    <w:p>
      <w:pPr>
        <w:spacing w:after="0" w:line="76"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Management has evaluated, with the participation of our Chief Executive Officer and Chief Financial Officer, whether any changes in our internal control over financial reporting that occurred during our last fiscal quarter have materially affected, or are reasonably likely to materially affect, our internal control over financial reporting. There were no changes in our internal control over financial reporting from April 1, 2024 through June 30, 2024 that management believes have materially affected, or are reasonably likely to materially affect, our internal control over financial reporting.</w:t>
      </w:r>
    </w:p>
    <w:p>
      <w:pPr>
        <w:spacing w:after="0" w:line="35"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In the ordinary course of business, we review our system of internal control over financial reporting and make changes that we believe will improve these controls and increase efficiency, while continuing to ensure that we maintain effective internal controls. Changes may include implementing new, more efficient systems, automating manual processes, and updating existing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713867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115</w:t>
            </w:r>
          </w:p>
        </w:tc>
      </w:tr>
      <w:tr>
        <w:trPr>
          <w:trHeight w:val="220"/>
        </w:trPr>
        <w:tc>
          <w:tcPr>
            <w:tcW w:w="6900" w:type="dxa"/>
            <w:vAlign w:val="bottom"/>
            <w:tcBorders>
              <w:bottom w:val="single" w:sz="8" w:color="9A9A9A"/>
            </w:tcBorders>
          </w:tcPr>
          <w:p>
            <w:pPr>
              <w:spacing w:after="0"/>
              <w:rPr>
                <w:sz w:val="19"/>
                <w:szCs w:val="19"/>
                <w:color w:val="auto"/>
              </w:rPr>
            </w:pPr>
          </w:p>
        </w:tc>
        <w:tc>
          <w:tcPr>
            <w:tcW w:w="43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8" w:name="page119"/>
    <w:bookmarkEnd w:id="118"/>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940"/>
        <w:spacing w:after="0"/>
        <w:rPr>
          <w:sz w:val="20"/>
          <w:szCs w:val="20"/>
          <w:color w:val="auto"/>
        </w:rPr>
      </w:pPr>
      <w:r>
        <w:rPr>
          <w:rFonts w:ascii="Georgia" w:cs="Georgia" w:eastAsia="Georgia" w:hAnsi="Georgia"/>
          <w:sz w:val="31"/>
          <w:szCs w:val="31"/>
          <w:b w:val="1"/>
          <w:bCs w:val="1"/>
          <w:color w:val="05314D"/>
        </w:rPr>
        <w:t>PART II—OTHER INFORMATION</w:t>
      </w:r>
    </w:p>
    <w:p>
      <w:pPr>
        <w:spacing w:after="0" w:line="185"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 Legal Proceedings</w:t>
      </w:r>
    </w:p>
    <w:p>
      <w:pPr>
        <w:spacing w:after="0" w:line="65"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The information in this item supplements and updates information regarding certain legal proceedings set forth in “Legal Proceedings” in our 2023 Form 10-K and our First Quarter 2024 Form 10-Q. We also provide information regarding material legal proceedings in “Note 14, Commitments and Contingencies,” which is incorporated herein by reference. In addition to the matters specifically described or incorporated by reference in this item, we are involved in legal and regulatory proceedings that arise in the ordinary course of business that we do not expect will have a material impact on our business or financial condition. However, litigation claims and proceedings of all types are subject to many factors and their outcome and effect on our business and financial condition generally cannot be predicted accurately.</w:t>
      </w:r>
    </w:p>
    <w:p>
      <w:pPr>
        <w:spacing w:after="0" w:line="5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establish an accrual for legal claims only when a loss is probable and we can reasonably estimate the amount of such loss. The actual costs of resolving legal claims may be substantially higher or lower than the amounts accrued for those claims. If certain of these matters are determined against us, FHFA or Treasury, it could have a material adverse effect on our results of operations, liquidity and financial condition, including our net worth.</w:t>
      </w:r>
    </w:p>
    <w:p>
      <w:pPr>
        <w:spacing w:after="0" w:line="7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Senior Preferred Stock Purchase Agreements Litigation</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Since June 2013, preferred and common stockholders of Fannie Mae and Freddie Mac filed lawsuits in multiple federal courts against one or more of the United States, Treasury and FHFA, challenging actions taken by the defendants relating to the Fannie Mae and Freddie Mac senior preferred stock purchase agreements and the conservatorships of Fannie Mae and Freddie Mac. Some of these lawsuits also contain claims against Fannie Mae and Freddie Mac. The legal claims being advanced by one or more of these lawsuits include challenges to the net worth sweep dividend provisions of the senior preferred stock that were implemented pursuant to August 2012 amendments to the agreements, the payment of dividends to Treasury under the net worth sweep dividend provisions, and FHFA’s decision to require Fannie Mae and Freddie Mac to draw funds from Treasury to pay dividends to Treasury prior to the August 2012 amendments. The plaintiffs seek various forms of equitable and injunctive relief as well as damages. The cases that remain pending or were terminated after March 31, 2024 are as follows:</w:t>
      </w:r>
    </w:p>
    <w:p>
      <w:pPr>
        <w:spacing w:after="0" w:line="43"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i w:val="1"/>
          <w:iCs w:val="1"/>
          <w:color w:val="auto"/>
        </w:rPr>
        <w:t>District of Columbia (In re Fannie Mae/Freddie Mac Senior Preferred Stock Purchase Agreement Class Action Litigations and Fairholme Funds v. FHFA)</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Fannie Mae is a defendant in two cases filed in the U.S. District Court for the District of Columbia, including a consolidated class action. The cases were consolidated for trial, and on August 14, 2023, the jury returned a verdict for the plaintiffs and awarded damages of $299.4 million to Fannie Mae preferred stockholders. On March 20, 2024, the court entered final judgment and set the amount of prejudgment interest owed by Fannie Mae at $199.7 million. On April 17, 2024, the defendants filed a motion for judgment as a matter of law, which has been fully briefed. The parties will have 30 days to appeal following the court’s decision on the motion. See “Note 14, Commitments and Contingencies” for additional information.</w:t>
      </w:r>
    </w:p>
    <w:p>
      <w:pPr>
        <w:spacing w:after="0" w:line="4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i w:val="1"/>
          <w:iCs w:val="1"/>
          <w:color w:val="auto"/>
        </w:rPr>
        <w:t xml:space="preserve">Western District of Michigan (Rop et al. v. FHFA et al.). </w:t>
      </w:r>
      <w:r>
        <w:rPr>
          <w:rFonts w:ascii="Arial" w:cs="Arial" w:eastAsia="Arial" w:hAnsi="Arial"/>
          <w:sz w:val="16"/>
          <w:szCs w:val="16"/>
          <w:color w:val="auto"/>
        </w:rPr>
        <w:t>On June 1, 2017, preferred and common stockholders of Fannie Mae and Freddie Mac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for declaratory and injunctive relief against FHFA and Treasury in the U.S. District Court for the Western District of Michigan. FHFA and Treasury moved to dismiss the case on September 8, 2017, and plaintiffs filed a motion for summary judgment on October 6, 2017. On September 8, 2020, the court denied plaintiffs’ motion for summary judgment and granted defendants’ motion to dismiss. On October 4, 2022, the U.S. Court of Appeals for the Sixth Circuit reversed the dismissal and remanded the case to the district court to determine whether the stockholders suffered compensable harm. On February 2, 2023, plaintiffs filed a petition with the Supreme Court seeking review of the Sixth Circuit’s decision, which the Supreme Court denied on June 12, 2023. On August 11, 2023, plaintiffs submitted a motion for leave to file an amended complaint in the district court.</w:t>
      </w:r>
    </w:p>
    <w:p>
      <w:pPr>
        <w:spacing w:after="0" w:line="43"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i w:val="1"/>
          <w:iCs w:val="1"/>
          <w:color w:val="auto"/>
        </w:rPr>
        <w:t xml:space="preserve">District of Minnesota (Bhatti et al. v. FHFA et al.). </w:t>
      </w:r>
      <w:r>
        <w:rPr>
          <w:rFonts w:ascii="Arial" w:cs="Arial" w:eastAsia="Arial" w:hAnsi="Arial"/>
          <w:sz w:val="16"/>
          <w:szCs w:val="16"/>
          <w:color w:val="auto"/>
        </w:rPr>
        <w:t>On June 22, 2017, preferred and common stockholders of Fannie Mae and Freddie Mac filed a complaint</w:t>
      </w:r>
      <w:r>
        <w:rPr>
          <w:rFonts w:ascii="Arial" w:cs="Arial" w:eastAsia="Arial" w:hAnsi="Arial"/>
          <w:sz w:val="16"/>
          <w:szCs w:val="16"/>
          <w:i w:val="1"/>
          <w:iCs w:val="1"/>
          <w:color w:val="auto"/>
        </w:rPr>
        <w:t xml:space="preserve"> </w:t>
      </w:r>
      <w:r>
        <w:rPr>
          <w:rFonts w:ascii="Arial" w:cs="Arial" w:eastAsia="Arial" w:hAnsi="Arial"/>
          <w:sz w:val="16"/>
          <w:szCs w:val="16"/>
          <w:color w:val="auto"/>
        </w:rPr>
        <w:t>for declaratory and injunctive relief against FHFA and Treasury in the U.S. District Court for the District of Minnesota. The court dismissed the case on July 6, 2018. On October 6, 2021, the U.S. Court of Appeals for the Eighth Circuit affirmed in part and reversed in part the district court’s ruling and remanded the case to the district court to determine whether the stockholders suffered compensable harm. On January 26, 2022, plaintiffs filed an amended complaint. On March 11, 2022 and March 14, 2022, Treasury and FHFA each filed motions to dismiss the new complaint. On December 16, 2022, the district court dismissed the case. On March 28, 2024, the Eighth Circuit Court of Appeals affirmed the district court’s dismissal. The shareholders’ time to seek review of that decision lapsed on June 26, 2024, ending the case.</w:t>
      </w:r>
    </w:p>
    <w:p>
      <w:pPr>
        <w:spacing w:after="0" w:line="56"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i w:val="1"/>
          <w:iCs w:val="1"/>
          <w:color w:val="auto"/>
        </w:rPr>
        <w:t>Eastern District of Pennsylvania (Wazee Street Opportunities Fund IV L.P. et al. v. FHFA et al.)</w:t>
      </w:r>
      <w:r>
        <w:rPr>
          <w:rFonts w:ascii="Arial" w:cs="Arial" w:eastAsia="Arial" w:hAnsi="Arial"/>
          <w:sz w:val="16"/>
          <w:szCs w:val="16"/>
          <w:color w:val="auto"/>
        </w:rPr>
        <w:t>. On August 16, 2018, common stockholders of Fannie Mae</w:t>
      </w:r>
      <w:r>
        <w:rPr>
          <w:rFonts w:ascii="Arial" w:cs="Arial" w:eastAsia="Arial" w:hAnsi="Arial"/>
          <w:sz w:val="16"/>
          <w:szCs w:val="16"/>
          <w:i w:val="1"/>
          <w:iCs w:val="1"/>
          <w:color w:val="auto"/>
        </w:rPr>
        <w:t xml:space="preserve"> </w:t>
      </w:r>
      <w:r>
        <w:rPr>
          <w:rFonts w:ascii="Arial" w:cs="Arial" w:eastAsia="Arial" w:hAnsi="Arial"/>
          <w:sz w:val="16"/>
          <w:szCs w:val="16"/>
          <w:color w:val="auto"/>
        </w:rPr>
        <w:t>and Freddie Mac filed a complaint for declaratory and injunctive relief against FHFA and Treasury in the U.S. District Court for the Eastern District of Pennsylvania. FHFA and Treasury moved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369570</wp:posOffset>
            </wp:positionV>
            <wp:extent cx="713867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116</w:t>
            </w:r>
          </w:p>
        </w:tc>
      </w:tr>
      <w:tr>
        <w:trPr>
          <w:trHeight w:val="220"/>
        </w:trPr>
        <w:tc>
          <w:tcPr>
            <w:tcW w:w="6900" w:type="dxa"/>
            <w:vAlign w:val="bottom"/>
            <w:tcBorders>
              <w:bottom w:val="single" w:sz="8" w:color="9A9A9A"/>
            </w:tcBorders>
          </w:tcPr>
          <w:p>
            <w:pPr>
              <w:spacing w:after="0"/>
              <w:rPr>
                <w:sz w:val="19"/>
                <w:szCs w:val="19"/>
                <w:color w:val="auto"/>
              </w:rPr>
            </w:pPr>
          </w:p>
        </w:tc>
        <w:tc>
          <w:tcPr>
            <w:tcW w:w="43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9" w:name="page120"/>
    <w:bookmarkEnd w:id="119"/>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dismiss the case on November 16, 2018, and plaintiffs filed a motion for summary judgment on December 21, 2018. On July 1, 2024, plaintiffs filed a motion for leave to amend their complaint.</w:t>
      </w:r>
    </w:p>
    <w:p>
      <w:pPr>
        <w:spacing w:after="0" w:line="15"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i w:val="1"/>
          <w:iCs w:val="1"/>
          <w:color w:val="auto"/>
        </w:rPr>
        <w:t xml:space="preserve">U.S. Court of Federal Claims (Fisher et al. v. United States of America). </w:t>
      </w:r>
      <w:r>
        <w:rPr>
          <w:rFonts w:ascii="Arial" w:cs="Arial" w:eastAsia="Arial" w:hAnsi="Arial"/>
          <w:sz w:val="16"/>
          <w:szCs w:val="16"/>
          <w:color w:val="auto"/>
        </w:rPr>
        <w:t>On December 2, 2013, common stockholders of Fannie Mae filed a lawsuit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that listed Fannie Mae as a nominal defendant. The plaintiffs alleged that the net worth sweep dividend provisions of the senior preferred stock that were implemented pursuant to the August 2012 amendment constituted a taking of Fannie Mae’s property without just compensation in violation of the U.S. Constitution. On February 15, 2023, the court issued an order for plaintiffs to show cause why their claims should not be dismissed, as claims similar to theirs brought by other Fannie Mae stockholders in other cases against the United States had been dismissed by the court. On September 1, 2023, the court dismissed the case with prejudice. On October 30, 2023, plaintiffs filed a notice of appeal.</w:t>
      </w:r>
    </w:p>
    <w:p>
      <w:pPr>
        <w:spacing w:after="0" w:line="107"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1A. Risk Factors</w:t>
      </w:r>
    </w:p>
    <w:p>
      <w:pPr>
        <w:spacing w:after="0" w:line="9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 addition to the information in this report, you should carefully consider the risks relating to our business that we identify in “Risk Factors” in our 2023 Form 10-K. Also refer to “MD&amp;A—Risk Management,” “MD&amp;A—Single-Family Business” and “MD&amp;A—Multifamily Business” in our 2023 Form 10-K and in this report for more detailed descriptions of the primary risks to our business and how we seek to manage those risks.</w:t>
      </w:r>
    </w:p>
    <w:p>
      <w:pPr>
        <w:spacing w:after="0" w:line="43"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The risks we face could materially adversely affect our business, results of operations, financial condition, liquidity and net worth, and could cause our actual results to differ materially from our past results or the results contemplated by any forward-looking statements we make. We believe the risks described in the other sections of this report and our 2023 Form 10-K referenced above are the most significant we face; however, these are not the only risks we face. We face additional risks and uncertainties not currently known to us or that we currently believe are immaterial.</w:t>
      </w:r>
    </w:p>
    <w:p>
      <w:pPr>
        <w:spacing w:after="0" w:line="89"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2. Unregistered Sales of Equity Securities and Use of Proceeds</w:t>
      </w:r>
    </w:p>
    <w:p>
      <w:pPr>
        <w:spacing w:after="0" w:line="125"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Common Stock</w:t>
      </w:r>
    </w:p>
    <w:p>
      <w:pPr>
        <w:spacing w:after="0" w:line="63"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Our common stock is traded in the over-the-counter market and quoted on the OTCQB, operated by OTC Markets Group Inc., under the ticker symbol “FNMA.”</w:t>
      </w:r>
    </w:p>
    <w:p>
      <w:pPr>
        <w:spacing w:after="0" w:line="4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Recent Sales of Unregistered Equity Securities</w:t>
      </w:r>
    </w:p>
    <w:p>
      <w:pPr>
        <w:spacing w:after="0" w:line="63"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Under the terms of our senior preferred stock purchase agreement with Treasury, we are prohibited from selling or issuing our equity interests without the prior written consent of Treasury except under limited circumstances, which are described in “Business—Conservatorship and Treasury Agreements— Treasury Agreements—Covenants” in our 2023 Form 10-K. During the quarter ended June 30, 2024, we did not sell any equity securities.</w:t>
      </w:r>
    </w:p>
    <w:p>
      <w:pPr>
        <w:spacing w:after="0" w:line="7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Information about Certain Securities Issuances by Fannie Mae</w:t>
      </w:r>
    </w:p>
    <w:p>
      <w:pPr>
        <w:spacing w:after="0" w:line="63"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Pursuant to SEC regulations, public companies are required to disclose certain information when they incur a material direct financial obligation or become directly or contingently liable for a material obligation under an off-balance sheet arrangement. The disclosure must be made in a current report on Form 8-K under Item 2.03 or, if the obligation is incurred in connection with certain types of securities offerings, in prospectuses for that offering that are filed with the SEC.</w:t>
      </w:r>
    </w:p>
    <w:p>
      <w:pPr>
        <w:spacing w:after="0" w:line="33"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Because the securities we issue are exempted securities under the Securities Act of 1933, we do not file registration statements or prospectuses with the SEC with respect to our securities offerings. To comply with the disclosure requirements of Form 8-K relating to the incurrence of material financial obligations, in accordance with a “no-action” letter we received from the SEC staff in 2004, we report our incurrence of these types of obligations in offering circulars or prospectuses (or supplements thereto) that we post on our website within the same time period that a prospectus for a non-exempt securities offering would be required to be filed with the SEC. To the extent we incur a material financial obligation that is not disclosed in this manner, we would file a Form 8-K if required to do so under applicable Form 8-K requirements.</w:t>
      </w:r>
    </w:p>
    <w:p>
      <w:pPr>
        <w:spacing w:after="0" w:line="41"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The website address for disclosure about our debt securities is www.fanniemae.com/debtsearch. From this address, investors can access the offering circular and related supplements for debt securities offerings under Fannie Mae’s universal debt facility, including pricing supplements for individual issuances of debt securities.</w:t>
      </w:r>
    </w:p>
    <w:p>
      <w:pPr>
        <w:spacing w:after="0" w:line="24" w:lineRule="exact"/>
        <w:rPr>
          <w:sz w:val="20"/>
          <w:szCs w:val="20"/>
          <w:color w:val="auto"/>
        </w:rPr>
      </w:pPr>
    </w:p>
    <w:p>
      <w:pPr>
        <w:ind w:right="420"/>
        <w:spacing w:after="0" w:line="272" w:lineRule="auto"/>
        <w:rPr>
          <w:sz w:val="20"/>
          <w:szCs w:val="20"/>
          <w:color w:val="auto"/>
        </w:rPr>
      </w:pPr>
      <w:r>
        <w:rPr>
          <w:rFonts w:ascii="Arial" w:cs="Arial" w:eastAsia="Arial" w:hAnsi="Arial"/>
          <w:sz w:val="16"/>
          <w:szCs w:val="16"/>
          <w:color w:val="auto"/>
        </w:rPr>
        <w:t>Disclosure about our obligations pursuant to the MBS we issue, some of which may be off-balance sheet obligations, can be found at www.fanniemae.com/mbsdisclosure. From this address, investors can access information and documents about our MBS, including prospectuses and related prospectus supplements.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377825</wp:posOffset>
            </wp:positionV>
            <wp:extent cx="713867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117</w:t>
            </w:r>
          </w:p>
        </w:tc>
      </w:tr>
      <w:tr>
        <w:trPr>
          <w:trHeight w:val="207"/>
        </w:trPr>
        <w:tc>
          <w:tcPr>
            <w:tcW w:w="6900" w:type="dxa"/>
            <w:vAlign w:val="bottom"/>
            <w:tcBorders>
              <w:bottom w:val="single" w:sz="8" w:color="9A9A9A"/>
            </w:tcBorders>
          </w:tcPr>
          <w:p>
            <w:pPr>
              <w:spacing w:after="0"/>
              <w:rPr>
                <w:sz w:val="17"/>
                <w:szCs w:val="17"/>
                <w:color w:val="auto"/>
              </w:rPr>
            </w:pPr>
          </w:p>
        </w:tc>
        <w:tc>
          <w:tcPr>
            <w:tcW w:w="43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0" w:name="page121"/>
    <w:bookmarkEnd w:id="120"/>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We are providing our website address solely for your information. Information appearing on our website is not incorporated into this report.</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Our Purchases of Equity Securities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We did not repurchase any of our equity securities during the second quarter of 2024.</w:t>
      </w:r>
    </w:p>
    <w:p>
      <w:pPr>
        <w:spacing w:after="0" w:line="146"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Dividend Restrictions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Our payment of dividends is subject to the following restrictions:</w:t>
      </w:r>
    </w:p>
    <w:p>
      <w:pPr>
        <w:spacing w:after="0" w:line="8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i w:val="1"/>
          <w:iCs w:val="1"/>
          <w:color w:val="auto"/>
        </w:rPr>
        <w:t xml:space="preserve">Restrictions Relating to Conservatorship. </w:t>
      </w:r>
      <w:r>
        <w:rPr>
          <w:rFonts w:ascii="Arial" w:cs="Arial" w:eastAsia="Arial" w:hAnsi="Arial"/>
          <w:sz w:val="16"/>
          <w:szCs w:val="16"/>
          <w:color w:val="auto"/>
        </w:rPr>
        <w:t>Our conservator announced on September 7, 2008 that we would not pay any dividends on the common stock or</w:t>
      </w:r>
      <w:r>
        <w:rPr>
          <w:rFonts w:ascii="Arial" w:cs="Arial" w:eastAsia="Arial" w:hAnsi="Arial"/>
          <w:sz w:val="16"/>
          <w:szCs w:val="16"/>
          <w:i w:val="1"/>
          <w:iCs w:val="1"/>
          <w:color w:val="auto"/>
        </w:rPr>
        <w:t xml:space="preserve"> </w:t>
      </w:r>
      <w:r>
        <w:rPr>
          <w:rFonts w:ascii="Arial" w:cs="Arial" w:eastAsia="Arial" w:hAnsi="Arial"/>
          <w:sz w:val="16"/>
          <w:szCs w:val="16"/>
          <w:color w:val="auto"/>
        </w:rPr>
        <w:t>on any series of preferred stock, other than the senior preferred stock. In addition, FHFA’s regulations relating to conservatorship and receivership operations prohibit us from paying any dividends while in conservatorship unless authorized by the Director of FHFA. The Director of FHFA has directed us to make dividend payments on the senior preferred stock on a quarterly basis for every dividend period for which dividends were payable.</w:t>
      </w:r>
    </w:p>
    <w:p>
      <w:pPr>
        <w:spacing w:after="0" w:line="3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 xml:space="preserve">Restrictions Under Senior Preferred Stock Purchase Agreement and Senior Preferred Stock. </w:t>
      </w:r>
      <w:r>
        <w:rPr>
          <w:rFonts w:ascii="Arial" w:cs="Arial" w:eastAsia="Arial" w:hAnsi="Arial"/>
          <w:sz w:val="16"/>
          <w:szCs w:val="16"/>
          <w:color w:val="auto"/>
        </w:rPr>
        <w:t>The senior preferred stock purchase agreement prohibits us</w:t>
      </w:r>
      <w:r>
        <w:rPr>
          <w:rFonts w:ascii="Arial" w:cs="Arial" w:eastAsia="Arial" w:hAnsi="Arial"/>
          <w:sz w:val="16"/>
          <w:szCs w:val="16"/>
          <w:i w:val="1"/>
          <w:iCs w:val="1"/>
          <w:color w:val="auto"/>
        </w:rPr>
        <w:t xml:space="preserve"> </w:t>
      </w:r>
      <w:r>
        <w:rPr>
          <w:rFonts w:ascii="Arial" w:cs="Arial" w:eastAsia="Arial" w:hAnsi="Arial"/>
          <w:sz w:val="16"/>
          <w:szCs w:val="16"/>
          <w:color w:val="auto"/>
        </w:rPr>
        <w:t>from declaring or paying any dividends on Fannie Mae equity securities (other than the senior preferred stock) without the prior written consent of Treasury. In addition, the provisions of the senior preferred stock provide for dividends each quarter through and including the capital reserve end date in the amount, if any, by which our net worth as of the end of the immediately preceding fiscal quarter exceeds an applicable capital reserve amount. The applicable capital reserve amount is the amount of adjusted total capital necessary for us to meet the capital requirements and buffers set forth in the enterprise regulatory capital framework. The capital reserve end date is defined as the last day of the second consecutive fiscal quarter during which we have had and maintained capital equal to, or in excess of, all of the capital requirements and buffers under the enterprise regulatory capital framework. After the capital reserve end date, the amount of quarterly dividends to Treasury will be equal to the lesser of any quarterly increase in our net worth and a 10% annual rate on the then-current liquidation preference of the senior preferred stock. As a result, our ability to retain earnings in excess of the capital requirements and buffers set forth in the enterprise regulatory capital framework will be limited. For more information on the terms of the senior preferred stock purchase agreement and senior preferred stock, see “Business—Conservatorship and Treasury Agreements” in our 2023 Form 10-K.</w:t>
      </w:r>
    </w:p>
    <w:p>
      <w:pPr>
        <w:spacing w:after="0" w:line="46" w:lineRule="exact"/>
        <w:rPr>
          <w:sz w:val="20"/>
          <w:szCs w:val="20"/>
          <w:color w:val="auto"/>
        </w:rPr>
      </w:pPr>
    </w:p>
    <w:p>
      <w:pPr>
        <w:ind w:right="380"/>
        <w:spacing w:after="0" w:line="272" w:lineRule="auto"/>
        <w:rPr>
          <w:sz w:val="20"/>
          <w:szCs w:val="20"/>
          <w:color w:val="auto"/>
        </w:rPr>
      </w:pPr>
      <w:r>
        <w:rPr>
          <w:rFonts w:ascii="Arial" w:cs="Arial" w:eastAsia="Arial" w:hAnsi="Arial"/>
          <w:sz w:val="16"/>
          <w:szCs w:val="16"/>
          <w:i w:val="1"/>
          <w:iCs w:val="1"/>
          <w:color w:val="auto"/>
        </w:rPr>
        <w:t xml:space="preserve">Additional Restrictions Relating to Preferred Stock. </w:t>
      </w:r>
      <w:r>
        <w:rPr>
          <w:rFonts w:ascii="Arial" w:cs="Arial" w:eastAsia="Arial" w:hAnsi="Arial"/>
          <w:sz w:val="16"/>
          <w:szCs w:val="16"/>
          <w:color w:val="auto"/>
        </w:rPr>
        <w:t>Payment of dividends on our common stock is also subject to the prior payment of dividends on our</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and our senior preferred stock. Payment of dividends on all outstanding preferred stock, other than the senior preferred stock, is also subject to the prior payment of dividends on the senior preferred stock.</w:t>
      </w:r>
    </w:p>
    <w:p>
      <w:pPr>
        <w:spacing w:after="0" w:line="3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i w:val="1"/>
          <w:iCs w:val="1"/>
          <w:color w:val="auto"/>
        </w:rPr>
        <w:t xml:space="preserve">Statutory Restrictions. </w:t>
      </w:r>
      <w:r>
        <w:rPr>
          <w:rFonts w:ascii="Arial" w:cs="Arial" w:eastAsia="Arial" w:hAnsi="Arial"/>
          <w:sz w:val="16"/>
          <w:szCs w:val="16"/>
          <w:color w:val="auto"/>
        </w:rPr>
        <w:t>Under the GSE Act, we are not permitted to make a capital distribution (including the payment of dividends) if, after making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we would be undercapitalized. The Director of FHFA, however, may permit us to repurchase shares if the repurchase is made in connection with the issuance of additional shares or obligations in at least an equivalent amount and will reduce our financial obligations or otherwise improve our financial condition. The GSE Act also provides that: (1) if we are classified as undercapitalized, we may not make a capital distribution that would result in our reclassification as significantly or critically undercapitalized; and (2) if we are classified as significantly undercapitalized, we may not make a capital distribution that would result in our reclassification as critically undercapitalized and we may not make any other capital distribution without the approval of the Director of FHFA. Our capital classifications have been suspended during conservatorship. In addition, under the Charter Act, we must obtain the prior written approval of FHFA to make a capital distribution that would decrease our total capital to an amount less than the risk-based capital level or that would decrease our core capital to an amount less than the minimum capital level.</w:t>
      </w:r>
    </w:p>
    <w:p>
      <w:pPr>
        <w:spacing w:after="0" w:line="43"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While not currently applicable, our payment of dividends will be subject to the following restrictions under the enterprise regulatory capital framework effective on the date of termination of our conservatorship:</w:t>
      </w:r>
    </w:p>
    <w:p>
      <w:pPr>
        <w:spacing w:after="0" w:line="15"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i w:val="1"/>
          <w:iCs w:val="1"/>
          <w:color w:val="auto"/>
        </w:rPr>
        <w:t xml:space="preserve">Restrictions Under Enterprise Regulatory Capital Framework. </w:t>
      </w:r>
      <w:r>
        <w:rPr>
          <w:rFonts w:ascii="Arial" w:cs="Arial" w:eastAsia="Arial" w:hAnsi="Arial"/>
          <w:sz w:val="16"/>
          <w:szCs w:val="16"/>
          <w:color w:val="auto"/>
        </w:rPr>
        <w:t>During a calendar quarter, we will not be permitted to pay dividends or make any other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(or create an obligation to make such distributions) that, in the aggregate, exceed the amount equal to our eligible retained income for the quarter multiplied by our maximum payout ratio. The maximum payout ratio for a given quarter is the lowest of the payout ratios determined by our capital conservation buffer and our leverage buffer. We will not be subject to this limitation on distributions if we have a capital conservation buffer that is greater than our prescribed capital conservation buffer amount and a leverage buffer that is greater than our prescribed leverage buffer amount. Notwithstanding the above-described limitations, FHFA may permit us to make a distribution upon our request, if FHFA determines that the distribution would not be contrary to the purposes of this section of the enterprise regulatory capital framework or to our safety and soundness. We will not be permitted to make any distributions during a quarter if our eligible retained income is negative and either (a) our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377190</wp:posOffset>
            </wp:positionV>
            <wp:extent cx="713867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118</w:t>
            </w:r>
          </w:p>
        </w:tc>
      </w:tr>
      <w:tr>
        <w:trPr>
          <w:trHeight w:val="220"/>
        </w:trPr>
        <w:tc>
          <w:tcPr>
            <w:tcW w:w="6900" w:type="dxa"/>
            <w:vAlign w:val="bottom"/>
            <w:tcBorders>
              <w:bottom w:val="single" w:sz="8" w:color="9A9A9A"/>
            </w:tcBorders>
          </w:tcPr>
          <w:p>
            <w:pPr>
              <w:spacing w:after="0"/>
              <w:rPr>
                <w:sz w:val="19"/>
                <w:szCs w:val="19"/>
                <w:color w:val="auto"/>
              </w:rPr>
            </w:pPr>
          </w:p>
        </w:tc>
        <w:tc>
          <w:tcPr>
            <w:tcW w:w="43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1" w:name="page122"/>
    <w:bookmarkEnd w:id="121"/>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conservation buffer is less than our stress capital buffer or (b) our leverage buffer is less than our prescribed leverage buffer amount.</w:t>
      </w:r>
    </w:p>
    <w:p>
      <w:pPr>
        <w:spacing w:after="0" w:line="14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3. Defaults Upon Senior Securities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4. Mine Safety Disclosures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5. Other Information</w:t>
      </w:r>
    </w:p>
    <w:p>
      <w:pPr>
        <w:spacing w:after="0" w:line="11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Trading Arrangements</w:t>
      </w:r>
    </w:p>
    <w:p>
      <w:pPr>
        <w:spacing w:after="0" w:line="76"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During the quarter ended June 30, 2024, no Fannie Mae director or officer (as that term is defined by the SEC in Rule 16a-1(f) under the Exchange Act) adopted or terminated a Rule 10b5-1 trading arrangement or a non-Rule 10b5-1 trading arrangement for transactions in Fannie Mae securities.</w:t>
      </w:r>
    </w:p>
    <w:p>
      <w:pPr>
        <w:spacing w:after="0" w:line="68"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6. Exhibits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below are being filed or furnished with or incorporated by reference into this report.</w:t>
      </w:r>
    </w:p>
    <w:p>
      <w:pPr>
        <w:spacing w:after="0" w:line="130"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20" w:type="dxa"/>
            <w:vAlign w:val="bottom"/>
          </w:tcPr>
          <w:p>
            <w:pPr>
              <w:spacing w:after="0"/>
              <w:rPr>
                <w:sz w:val="20"/>
                <w:szCs w:val="20"/>
                <w:color w:val="auto"/>
              </w:rPr>
            </w:pPr>
            <w:r>
              <w:rPr>
                <w:rFonts w:ascii="Arial" w:cs="Arial" w:eastAsia="Arial" w:hAnsi="Arial"/>
                <w:sz w:val="15"/>
                <w:szCs w:val="15"/>
                <w:b w:val="1"/>
                <w:bCs w:val="1"/>
                <w:color w:val="auto"/>
                <w:w w:val="97"/>
              </w:rPr>
              <w:t>Item</w:t>
            </w:r>
          </w:p>
        </w:tc>
        <w:tc>
          <w:tcPr>
            <w:tcW w:w="1060" w:type="dxa"/>
            <w:vAlign w:val="bottom"/>
          </w:tcPr>
          <w:p>
            <w:pPr>
              <w:spacing w:after="0"/>
              <w:rPr>
                <w:sz w:val="14"/>
                <w:szCs w:val="14"/>
                <w:color w:val="auto"/>
              </w:rPr>
            </w:pPr>
          </w:p>
        </w:tc>
        <w:tc>
          <w:tcPr>
            <w:tcW w:w="9600" w:type="dxa"/>
            <w:vAlign w:val="bottom"/>
            <w:gridSpan w:val="11"/>
          </w:tcPr>
          <w:p>
            <w:pPr>
              <w:ind w:left="4420"/>
              <w:spacing w:after="0"/>
              <w:rPr>
                <w:sz w:val="20"/>
                <w:szCs w:val="20"/>
                <w:color w:val="auto"/>
              </w:rPr>
            </w:pPr>
            <w:r>
              <w:rPr>
                <w:rFonts w:ascii="Arial" w:cs="Arial" w:eastAsia="Arial" w:hAnsi="Arial"/>
                <w:sz w:val="15"/>
                <w:szCs w:val="15"/>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w:t>
            </w:r>
          </w:p>
        </w:tc>
        <w:tc>
          <w:tcPr>
            <w:tcW w:w="1060" w:type="dxa"/>
            <w:vAlign w:val="bottom"/>
          </w:tcPr>
          <w:p>
            <w:pPr>
              <w:spacing w:after="0"/>
              <w:rPr>
                <w:sz w:val="16"/>
                <w:szCs w:val="16"/>
                <w:color w:val="auto"/>
              </w:rPr>
            </w:pPr>
          </w:p>
        </w:tc>
        <w:tc>
          <w:tcPr>
            <w:tcW w:w="9600" w:type="dxa"/>
            <w:vAlign w:val="bottom"/>
            <w:gridSpan w:val="11"/>
          </w:tcPr>
          <w:p>
            <w:pPr>
              <w:spacing w:after="0"/>
              <w:rPr>
                <w:rFonts w:ascii="Arial" w:cs="Arial" w:eastAsia="Arial" w:hAnsi="Arial"/>
                <w:sz w:val="15"/>
                <w:szCs w:val="15"/>
                <w:color w:val="0000FF"/>
              </w:rPr>
            </w:pPr>
            <w:hyperlink r:id="rId572">
              <w:r>
                <w:rPr>
                  <w:rFonts w:ascii="Arial" w:cs="Arial" w:eastAsia="Arial" w:hAnsi="Arial"/>
                  <w:sz w:val="15"/>
                  <w:szCs w:val="15"/>
                  <w:color w:val="0000FF"/>
                </w:rPr>
                <w:t>Fannie Mae Charter Act (12 U.S.C. § 1716 et seq.) as amended through July 25, 2019 (Incorporated by reference to Exhibit 3.1 to Fannie</w:t>
              </w:r>
            </w:hyperlink>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0" w:type="dxa"/>
            <w:vAlign w:val="bottom"/>
            <w:tcBorders>
              <w:top w:val="single" w:sz="8" w:color="0000FF"/>
            </w:tcBorders>
            <w:gridSpan w:val="10"/>
          </w:tcPr>
          <w:p>
            <w:pPr>
              <w:spacing w:after="0" w:line="135" w:lineRule="exact"/>
              <w:rPr>
                <w:rFonts w:ascii="Arial" w:cs="Arial" w:eastAsia="Arial" w:hAnsi="Arial"/>
                <w:sz w:val="15"/>
                <w:szCs w:val="15"/>
                <w:color w:val="0000FF"/>
              </w:rPr>
            </w:pPr>
            <w:hyperlink r:id="rId572">
              <w:r>
                <w:rPr>
                  <w:rFonts w:ascii="Arial" w:cs="Arial" w:eastAsia="Arial" w:hAnsi="Arial"/>
                  <w:sz w:val="15"/>
                  <w:szCs w:val="15"/>
                  <w:color w:val="0000FF"/>
                </w:rPr>
                <w:t>Mae’s Quarterly Report on Form 10-Q for the quarter ended September 30, 2019, filed October 31, 2019.)</w:t>
              </w:r>
            </w:hyperlink>
          </w:p>
        </w:tc>
        <w:tc>
          <w:tcPr>
            <w:tcW w:w="200" w:type="dxa"/>
            <w:vAlign w:val="bottom"/>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w:t>
            </w:r>
          </w:p>
        </w:tc>
        <w:tc>
          <w:tcPr>
            <w:tcW w:w="1060" w:type="dxa"/>
            <w:vAlign w:val="bottom"/>
          </w:tcPr>
          <w:p>
            <w:pPr>
              <w:spacing w:after="0"/>
              <w:rPr>
                <w:sz w:val="16"/>
                <w:szCs w:val="16"/>
                <w:color w:val="auto"/>
              </w:rPr>
            </w:pPr>
          </w:p>
        </w:tc>
        <w:tc>
          <w:tcPr>
            <w:tcW w:w="9600" w:type="dxa"/>
            <w:vAlign w:val="bottom"/>
            <w:gridSpan w:val="11"/>
          </w:tcPr>
          <w:p>
            <w:pPr>
              <w:spacing w:after="0"/>
              <w:rPr>
                <w:rFonts w:ascii="Arial" w:cs="Arial" w:eastAsia="Arial" w:hAnsi="Arial"/>
                <w:sz w:val="15"/>
                <w:szCs w:val="15"/>
                <w:color w:val="0000FF"/>
              </w:rPr>
            </w:pPr>
            <w:hyperlink r:id="rId573">
              <w:r>
                <w:rPr>
                  <w:rFonts w:ascii="Arial" w:cs="Arial" w:eastAsia="Arial" w:hAnsi="Arial"/>
                  <w:sz w:val="15"/>
                  <w:szCs w:val="15"/>
                  <w:color w:val="0000FF"/>
                </w:rPr>
                <w:t>Fannie Mae Bylaws, as amended through January 29, 2019 (Incorporated by reference to Exhibit 3.2 to Fannie Mae’s Annual Report on</w:t>
              </w:r>
            </w:hyperlink>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300" w:type="dxa"/>
            <w:vAlign w:val="bottom"/>
            <w:tcBorders>
              <w:top w:val="single" w:sz="8" w:color="0000FF"/>
            </w:tcBorders>
            <w:gridSpan w:val="9"/>
          </w:tcPr>
          <w:p>
            <w:pPr>
              <w:spacing w:after="0" w:line="135" w:lineRule="exact"/>
              <w:rPr>
                <w:rFonts w:ascii="Arial" w:cs="Arial" w:eastAsia="Arial" w:hAnsi="Arial"/>
                <w:sz w:val="15"/>
                <w:szCs w:val="15"/>
                <w:color w:val="0000FF"/>
              </w:rPr>
            </w:pPr>
            <w:hyperlink r:id="rId573">
              <w:r>
                <w:rPr>
                  <w:rFonts w:ascii="Arial" w:cs="Arial" w:eastAsia="Arial" w:hAnsi="Arial"/>
                  <w:sz w:val="15"/>
                  <w:szCs w:val="15"/>
                  <w:color w:val="0000FF"/>
                </w:rPr>
                <w:t>Form 10-K for the year ended December 31, 2018, filed February 14, 2019.)</w:t>
              </w:r>
            </w:hyperlink>
          </w:p>
        </w:tc>
        <w:tc>
          <w:tcPr>
            <w:tcW w:w="300" w:type="dxa"/>
            <w:vAlign w:val="bottom"/>
            <w:gridSpan w:val="2"/>
          </w:tcPr>
          <w:p>
            <w:pPr>
              <w:spacing w:after="0"/>
              <w:rPr>
                <w:sz w:val="11"/>
                <w:szCs w:val="1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spacing w:after="0"/>
              <w:rPr>
                <w:sz w:val="16"/>
                <w:szCs w:val="16"/>
                <w:color w:val="auto"/>
              </w:rPr>
            </w:pPr>
          </w:p>
        </w:tc>
        <w:tc>
          <w:tcPr>
            <w:tcW w:w="47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5"/>
                <w:szCs w:val="15"/>
                <w:color w:val="0000FF"/>
              </w:rPr>
              <w:t>Form of Relocation Repayment Agreement for Officers of Fannie Mae</w:t>
            </w:r>
          </w:p>
        </w:tc>
        <w:tc>
          <w:tcPr>
            <w:tcW w:w="480" w:type="dxa"/>
            <w:vAlign w:val="bottom"/>
            <w:tcBorders>
              <w:top w:val="single" w:sz="8" w:color="0000FF"/>
            </w:tcBorders>
            <w:gridSpan w:val="3"/>
          </w:tcPr>
          <w:p>
            <w:pPr>
              <w:spacing w:after="0"/>
              <w:rPr>
                <w:sz w:val="16"/>
                <w:szCs w:val="16"/>
                <w:color w:val="auto"/>
              </w:rPr>
            </w:pPr>
          </w:p>
        </w:tc>
        <w:tc>
          <w:tcPr>
            <w:tcW w:w="4340" w:type="dxa"/>
            <w:vAlign w:val="bottom"/>
            <w:gridSpan w:val="6"/>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31.1</w:t>
            </w:r>
          </w:p>
        </w:tc>
        <w:tc>
          <w:tcPr>
            <w:tcW w:w="1060" w:type="dxa"/>
            <w:vAlign w:val="bottom"/>
          </w:tcPr>
          <w:p>
            <w:pPr>
              <w:spacing w:after="0"/>
              <w:rPr>
                <w:sz w:val="16"/>
                <w:szCs w:val="16"/>
                <w:color w:val="auto"/>
              </w:rPr>
            </w:pPr>
          </w:p>
        </w:tc>
        <w:tc>
          <w:tcPr>
            <w:tcW w:w="9600" w:type="dxa"/>
            <w:vAlign w:val="bottom"/>
            <w:gridSpan w:val="11"/>
          </w:tcPr>
          <w:p>
            <w:pPr>
              <w:spacing w:after="0"/>
              <w:rPr>
                <w:sz w:val="20"/>
                <w:szCs w:val="20"/>
                <w:color w:val="auto"/>
              </w:rPr>
            </w:pPr>
            <w:r>
              <w:rPr>
                <w:rFonts w:ascii="Arial" w:cs="Arial" w:eastAsia="Arial" w:hAnsi="Arial"/>
                <w:sz w:val="15"/>
                <w:szCs w:val="15"/>
                <w:color w:val="0000FF"/>
              </w:rPr>
              <w:t>Certification of Chief Executive Officer pursuant to Securities Exchange Act Rule 13a-14(a)</w:t>
            </w: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31.2</w:t>
            </w:r>
          </w:p>
        </w:tc>
        <w:tc>
          <w:tcPr>
            <w:tcW w:w="1060" w:type="dxa"/>
            <w:vAlign w:val="bottom"/>
          </w:tcPr>
          <w:p>
            <w:pPr>
              <w:spacing w:after="0"/>
              <w:rPr>
                <w:sz w:val="16"/>
                <w:szCs w:val="16"/>
                <w:color w:val="auto"/>
              </w:rPr>
            </w:pPr>
          </w:p>
        </w:tc>
        <w:tc>
          <w:tcPr>
            <w:tcW w:w="6220" w:type="dxa"/>
            <w:vAlign w:val="bottom"/>
            <w:tcBorders>
              <w:top w:val="single" w:sz="8" w:color="0000FF"/>
            </w:tcBorders>
            <w:gridSpan w:val="7"/>
          </w:tcPr>
          <w:p>
            <w:pPr>
              <w:spacing w:after="0"/>
              <w:rPr>
                <w:sz w:val="20"/>
                <w:szCs w:val="20"/>
                <w:color w:val="auto"/>
              </w:rPr>
            </w:pPr>
            <w:r>
              <w:rPr>
                <w:rFonts w:ascii="Arial" w:cs="Arial" w:eastAsia="Arial" w:hAnsi="Arial"/>
                <w:sz w:val="15"/>
                <w:szCs w:val="15"/>
                <w:color w:val="0000FF"/>
              </w:rPr>
              <w:t>Certification of Chief Financial Officer pursuant to Securities Exchange Act Rule 13a-14(a)</w:t>
            </w:r>
          </w:p>
        </w:tc>
        <w:tc>
          <w:tcPr>
            <w:tcW w:w="3380" w:type="dxa"/>
            <w:vAlign w:val="bottom"/>
            <w:gridSpan w:val="4"/>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32.1</w:t>
            </w:r>
          </w:p>
        </w:tc>
        <w:tc>
          <w:tcPr>
            <w:tcW w:w="1060" w:type="dxa"/>
            <w:vAlign w:val="bottom"/>
          </w:tcPr>
          <w:p>
            <w:pPr>
              <w:spacing w:after="0"/>
              <w:rPr>
                <w:sz w:val="16"/>
                <w:szCs w:val="16"/>
                <w:color w:val="auto"/>
              </w:rPr>
            </w:pPr>
          </w:p>
        </w:tc>
        <w:tc>
          <w:tcPr>
            <w:tcW w:w="6160" w:type="dxa"/>
            <w:vAlign w:val="bottom"/>
            <w:tcBorders>
              <w:top w:val="single" w:sz="8" w:color="0000FF"/>
            </w:tcBorders>
            <w:gridSpan w:val="6"/>
          </w:tcPr>
          <w:p>
            <w:pPr>
              <w:spacing w:after="0"/>
              <w:rPr>
                <w:sz w:val="20"/>
                <w:szCs w:val="20"/>
                <w:color w:val="auto"/>
              </w:rPr>
            </w:pPr>
            <w:r>
              <w:rPr>
                <w:rFonts w:ascii="Arial" w:cs="Arial" w:eastAsia="Arial" w:hAnsi="Arial"/>
                <w:sz w:val="15"/>
                <w:szCs w:val="15"/>
                <w:color w:val="0000FF"/>
              </w:rPr>
              <w:t>Certification of Chief Executive Officer pursuant to 18 U.S.C. Section 1350</w:t>
            </w:r>
          </w:p>
        </w:tc>
        <w:tc>
          <w:tcPr>
            <w:tcW w:w="3440" w:type="dxa"/>
            <w:vAlign w:val="bottom"/>
            <w:gridSpan w:val="5"/>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32.2</w:t>
            </w:r>
          </w:p>
        </w:tc>
        <w:tc>
          <w:tcPr>
            <w:tcW w:w="1060" w:type="dxa"/>
            <w:vAlign w:val="bottom"/>
          </w:tcPr>
          <w:p>
            <w:pPr>
              <w:spacing w:after="0"/>
              <w:rPr>
                <w:sz w:val="16"/>
                <w:szCs w:val="16"/>
                <w:color w:val="auto"/>
              </w:rPr>
            </w:pPr>
          </w:p>
        </w:tc>
        <w:tc>
          <w:tcPr>
            <w:tcW w:w="50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5"/>
                <w:szCs w:val="15"/>
                <w:color w:val="0000FF"/>
              </w:rPr>
              <w:t>Certification of Chief Financial Officer pursuant to 18 U.S.C. Section 1350</w:t>
            </w:r>
          </w:p>
        </w:tc>
        <w:tc>
          <w:tcPr>
            <w:tcW w:w="40" w:type="dxa"/>
            <w:vAlign w:val="bottom"/>
            <w:tcBorders>
              <w:top w:val="single" w:sz="8" w:color="0000FF"/>
            </w:tcBorders>
          </w:tcPr>
          <w:p>
            <w:pPr>
              <w:spacing w:after="0"/>
              <w:rPr>
                <w:sz w:val="16"/>
                <w:szCs w:val="16"/>
                <w:color w:val="auto"/>
              </w:rPr>
            </w:pPr>
          </w:p>
        </w:tc>
        <w:tc>
          <w:tcPr>
            <w:tcW w:w="4520" w:type="dxa"/>
            <w:vAlign w:val="bottom"/>
            <w:gridSpan w:val="7"/>
          </w:tcPr>
          <w:p>
            <w:pPr>
              <w:spacing w:after="0"/>
              <w:rPr>
                <w:sz w:val="16"/>
                <w:szCs w:val="16"/>
                <w:color w:val="auto"/>
              </w:rPr>
            </w:pPr>
          </w:p>
        </w:tc>
      </w:tr>
      <w:tr>
        <w:trPr>
          <w:trHeight w:val="174"/>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INS</w:t>
            </w:r>
          </w:p>
        </w:tc>
        <w:tc>
          <w:tcPr>
            <w:tcW w:w="9600" w:type="dxa"/>
            <w:vAlign w:val="bottom"/>
            <w:gridSpan w:val="11"/>
          </w:tcPr>
          <w:p>
            <w:pPr>
              <w:spacing w:after="0"/>
              <w:rPr>
                <w:sz w:val="20"/>
                <w:szCs w:val="20"/>
                <w:color w:val="auto"/>
              </w:rPr>
            </w:pPr>
            <w:r>
              <w:rPr>
                <w:rFonts w:ascii="Arial" w:cs="Arial" w:eastAsia="Arial" w:hAnsi="Arial"/>
                <w:sz w:val="15"/>
                <w:szCs w:val="15"/>
                <w:color w:val="auto"/>
              </w:rPr>
              <w:t>Inline XBRL Instance Document* - the instance document does not appear in the Interactive Data File because its XBRL tags are embedded</w:t>
            </w:r>
          </w:p>
        </w:tc>
      </w:tr>
      <w:tr>
        <w:trPr>
          <w:trHeight w:val="204"/>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0" w:type="dxa"/>
            <w:vAlign w:val="bottom"/>
            <w:gridSpan w:val="11"/>
          </w:tcPr>
          <w:p>
            <w:pPr>
              <w:spacing w:after="0"/>
              <w:rPr>
                <w:sz w:val="20"/>
                <w:szCs w:val="20"/>
                <w:color w:val="auto"/>
              </w:rPr>
            </w:pPr>
            <w:r>
              <w:rPr>
                <w:rFonts w:ascii="Arial" w:cs="Arial" w:eastAsia="Arial" w:hAnsi="Arial"/>
                <w:sz w:val="15"/>
                <w:szCs w:val="15"/>
                <w:color w:val="auto"/>
              </w:rPr>
              <w:t>within the Inline XBRL document</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SCH</w:t>
            </w:r>
          </w:p>
        </w:tc>
        <w:tc>
          <w:tcPr>
            <w:tcW w:w="9600" w:type="dxa"/>
            <w:vAlign w:val="bottom"/>
            <w:gridSpan w:val="11"/>
          </w:tcPr>
          <w:p>
            <w:pPr>
              <w:spacing w:after="0"/>
              <w:rPr>
                <w:sz w:val="20"/>
                <w:szCs w:val="20"/>
                <w:color w:val="auto"/>
              </w:rPr>
            </w:pPr>
            <w:r>
              <w:rPr>
                <w:rFonts w:ascii="Arial" w:cs="Arial" w:eastAsia="Arial" w:hAnsi="Arial"/>
                <w:sz w:val="15"/>
                <w:szCs w:val="15"/>
                <w:color w:val="auto"/>
              </w:rPr>
              <w:t>Inline XBRL Taxonomy Extension Schema*</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CAL</w:t>
            </w:r>
          </w:p>
        </w:tc>
        <w:tc>
          <w:tcPr>
            <w:tcW w:w="9600" w:type="dxa"/>
            <w:vAlign w:val="bottom"/>
            <w:gridSpan w:val="11"/>
          </w:tcPr>
          <w:p>
            <w:pPr>
              <w:spacing w:after="0"/>
              <w:rPr>
                <w:sz w:val="20"/>
                <w:szCs w:val="20"/>
                <w:color w:val="auto"/>
              </w:rPr>
            </w:pPr>
            <w:r>
              <w:rPr>
                <w:rFonts w:ascii="Arial" w:cs="Arial" w:eastAsia="Arial" w:hAnsi="Arial"/>
                <w:sz w:val="15"/>
                <w:szCs w:val="15"/>
                <w:color w:val="auto"/>
              </w:rPr>
              <w:t>Inline XBRL Taxonomy Extension Calculation*</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DEF</w:t>
            </w:r>
          </w:p>
        </w:tc>
        <w:tc>
          <w:tcPr>
            <w:tcW w:w="9600" w:type="dxa"/>
            <w:vAlign w:val="bottom"/>
            <w:gridSpan w:val="11"/>
          </w:tcPr>
          <w:p>
            <w:pPr>
              <w:spacing w:after="0"/>
              <w:rPr>
                <w:sz w:val="20"/>
                <w:szCs w:val="20"/>
                <w:color w:val="auto"/>
              </w:rPr>
            </w:pPr>
            <w:r>
              <w:rPr>
                <w:rFonts w:ascii="Arial" w:cs="Arial" w:eastAsia="Arial" w:hAnsi="Arial"/>
                <w:sz w:val="15"/>
                <w:szCs w:val="15"/>
                <w:color w:val="auto"/>
              </w:rPr>
              <w:t>Inline XBRL Taxonomy Extension Definition*</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LAB</w:t>
            </w:r>
          </w:p>
        </w:tc>
        <w:tc>
          <w:tcPr>
            <w:tcW w:w="9600" w:type="dxa"/>
            <w:vAlign w:val="bottom"/>
            <w:gridSpan w:val="11"/>
          </w:tcPr>
          <w:p>
            <w:pPr>
              <w:spacing w:after="0"/>
              <w:rPr>
                <w:sz w:val="20"/>
                <w:szCs w:val="20"/>
                <w:color w:val="auto"/>
              </w:rPr>
            </w:pPr>
            <w:r>
              <w:rPr>
                <w:rFonts w:ascii="Arial" w:cs="Arial" w:eastAsia="Arial" w:hAnsi="Arial"/>
                <w:sz w:val="15"/>
                <w:szCs w:val="15"/>
                <w:color w:val="auto"/>
              </w:rPr>
              <w:t>Inline XBRL Taxonomy Extension Label*</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PRE</w:t>
            </w:r>
          </w:p>
        </w:tc>
        <w:tc>
          <w:tcPr>
            <w:tcW w:w="9600" w:type="dxa"/>
            <w:vAlign w:val="bottom"/>
            <w:gridSpan w:val="11"/>
          </w:tcPr>
          <w:p>
            <w:pPr>
              <w:spacing w:after="0"/>
              <w:rPr>
                <w:sz w:val="20"/>
                <w:szCs w:val="20"/>
                <w:color w:val="auto"/>
              </w:rPr>
            </w:pPr>
            <w:r>
              <w:rPr>
                <w:rFonts w:ascii="Arial" w:cs="Arial" w:eastAsia="Arial" w:hAnsi="Arial"/>
                <w:sz w:val="15"/>
                <w:szCs w:val="15"/>
                <w:color w:val="auto"/>
              </w:rPr>
              <w:t>Inline XBRL Taxonomy Extension Presentation*</w:t>
            </w:r>
          </w:p>
        </w:tc>
      </w:tr>
    </w:tbl>
    <w:p>
      <w:pPr>
        <w:spacing w:after="0" w:line="2" w:lineRule="exact"/>
        <w:rPr>
          <w:sz w:val="20"/>
          <w:szCs w:val="20"/>
          <w:color w:val="auto"/>
        </w:rPr>
      </w:pPr>
    </w:p>
    <w:p>
      <w:pPr>
        <w:ind w:left="160" w:right="4220" w:firstLine="15"/>
        <w:spacing w:after="0" w:line="516" w:lineRule="auto"/>
        <w:tabs>
          <w:tab w:leader="none" w:pos="1569" w:val="left"/>
        </w:tabs>
        <w:numPr>
          <w:ilvl w:val="1"/>
          <w:numId w:val="142"/>
        </w:numPr>
        <w:rPr>
          <w:rFonts w:ascii="Arial" w:cs="Arial" w:eastAsia="Arial" w:hAnsi="Arial"/>
          <w:sz w:val="15"/>
          <w:szCs w:val="15"/>
          <w:color w:val="auto"/>
        </w:rPr>
      </w:pPr>
      <w:r>
        <w:rPr>
          <w:rFonts w:ascii="Arial" w:cs="Arial" w:eastAsia="Arial" w:hAnsi="Arial"/>
          <w:sz w:val="15"/>
          <w:szCs w:val="15"/>
          <w:color w:val="auto"/>
        </w:rPr>
        <w:t xml:space="preserve">Cover Page Interactive Data File* (embedded within the Inline XBRL document) </w:t>
      </w:r>
      <w:r>
        <w:rPr>
          <w:rFonts w:ascii="Arial" w:cs="Arial" w:eastAsia="Arial" w:hAnsi="Arial"/>
          <w:sz w:val="16"/>
          <w:szCs w:val="16"/>
          <w:color w:val="auto"/>
        </w:rPr>
        <w:t>* The financial information contained in these Inline XBRL documents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258445</wp:posOffset>
            </wp:positionV>
            <wp:extent cx="713867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119</w:t>
            </w:r>
          </w:p>
        </w:tc>
      </w:tr>
      <w:tr>
        <w:trPr>
          <w:trHeight w:val="220"/>
        </w:trPr>
        <w:tc>
          <w:tcPr>
            <w:tcW w:w="6900" w:type="dxa"/>
            <w:vAlign w:val="bottom"/>
            <w:tcBorders>
              <w:bottom w:val="single" w:sz="8" w:color="9A9A9A"/>
            </w:tcBorders>
          </w:tcPr>
          <w:p>
            <w:pPr>
              <w:spacing w:after="0"/>
              <w:rPr>
                <w:sz w:val="19"/>
                <w:szCs w:val="19"/>
                <w:color w:val="auto"/>
              </w:rPr>
            </w:pPr>
          </w:p>
        </w:tc>
        <w:tc>
          <w:tcPr>
            <w:tcW w:w="43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2" w:name="page123"/>
    <w:bookmarkEnd w:id="122"/>
    <w:p>
      <w:pPr>
        <w:jc w:val="right"/>
        <w:ind w:right="120"/>
        <w:spacing w:after="0"/>
        <w:rPr>
          <w:sz w:val="20"/>
          <w:szCs w:val="20"/>
          <w:color w:val="auto"/>
        </w:rPr>
      </w:pPr>
      <w:r>
        <w:rPr>
          <w:rFonts w:ascii="Arial" w:cs="Arial" w:eastAsia="Arial" w:hAnsi="Arial"/>
          <w:sz w:val="14"/>
          <w:szCs w:val="14"/>
          <w:color w:val="05314D"/>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Georgia" w:cs="Georgia" w:eastAsia="Georgia" w:hAnsi="Georgia"/>
          <w:sz w:val="21"/>
          <w:szCs w:val="21"/>
          <w:b w:val="1"/>
          <w:bCs w:val="1"/>
          <w:color w:val="auto"/>
        </w:rPr>
        <w:t>SIGNATURES</w:t>
      </w:r>
    </w:p>
    <w:p>
      <w:pPr>
        <w:spacing w:after="0" w:line="140" w:lineRule="exact"/>
        <w:rPr>
          <w:sz w:val="20"/>
          <w:szCs w:val="20"/>
          <w:color w:val="auto"/>
        </w:rPr>
      </w:pPr>
    </w:p>
    <w:p>
      <w:pPr>
        <w:ind w:right="880"/>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Federal National Mortgage Association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40"/>
        <w:spacing w:after="0"/>
        <w:tabs>
          <w:tab w:leader="none" w:pos="68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Priscilla Almodovar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20955</wp:posOffset>
            </wp:positionV>
            <wp:extent cx="28244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8">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Priscilla Almodovar</w:t>
      </w:r>
    </w:p>
    <w:p>
      <w:pPr>
        <w:ind w:left="6820"/>
        <w:spacing w:after="0"/>
        <w:rPr>
          <w:sz w:val="20"/>
          <w:szCs w:val="20"/>
          <w:color w:val="auto"/>
        </w:rPr>
      </w:pPr>
      <w:r>
        <w:rPr>
          <w:rFonts w:ascii="Arial" w:cs="Arial" w:eastAsia="Arial" w:hAnsi="Arial"/>
          <w:sz w:val="15"/>
          <w:szCs w:val="15"/>
          <w:color w:val="auto"/>
        </w:rPr>
        <w:t>President and Chief Executive Officer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Date: July 30, 2024</w:t>
      </w:r>
    </w:p>
    <w:p>
      <w:pPr>
        <w:spacing w:after="0" w:line="135" w:lineRule="exact"/>
        <w:rPr>
          <w:sz w:val="20"/>
          <w:szCs w:val="20"/>
          <w:color w:val="auto"/>
        </w:rPr>
      </w:pPr>
    </w:p>
    <w:p>
      <w:pPr>
        <w:ind w:left="6240"/>
        <w:spacing w:after="0"/>
        <w:tabs>
          <w:tab w:leader="none" w:pos="68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20955</wp:posOffset>
            </wp:positionV>
            <wp:extent cx="28244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9">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Chryssa C. Halley</w:t>
      </w:r>
    </w:p>
    <w:p>
      <w:pPr>
        <w:ind w:left="6820"/>
        <w:spacing w:after="0" w:line="215" w:lineRule="auto"/>
        <w:rPr>
          <w:sz w:val="20"/>
          <w:szCs w:val="20"/>
          <w:color w:val="auto"/>
        </w:rPr>
      </w:pPr>
      <w:r>
        <w:rPr>
          <w:rFonts w:ascii="Arial" w:cs="Arial" w:eastAsia="Arial" w:hAnsi="Arial"/>
          <w:sz w:val="15"/>
          <w:szCs w:val="15"/>
          <w:color w:val="auto"/>
        </w:rPr>
        <w:t>Executive Vice President and</w:t>
      </w:r>
    </w:p>
    <w:p>
      <w:pPr>
        <w:ind w:left="6820"/>
        <w:spacing w:after="0"/>
        <w:rPr>
          <w:sz w:val="20"/>
          <w:szCs w:val="20"/>
          <w:color w:val="auto"/>
        </w:rPr>
      </w:pPr>
      <w:r>
        <w:rPr>
          <w:rFonts w:ascii="Arial" w:cs="Arial" w:eastAsia="Arial" w:hAnsi="Arial"/>
          <w:sz w:val="15"/>
          <w:szCs w:val="15"/>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Date: July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412750</wp:posOffset>
            </wp:positionV>
            <wp:extent cx="713867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2024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120</w:t>
            </w:r>
          </w:p>
        </w:tc>
      </w:tr>
      <w:tr>
        <w:trPr>
          <w:trHeight w:val="207"/>
        </w:trPr>
        <w:tc>
          <w:tcPr>
            <w:tcW w:w="6900" w:type="dxa"/>
            <w:vAlign w:val="bottom"/>
            <w:tcBorders>
              <w:bottom w:val="single" w:sz="8" w:color="9A9A9A"/>
            </w:tcBorders>
          </w:tcPr>
          <w:p>
            <w:pPr>
              <w:spacing w:after="0"/>
              <w:rPr>
                <w:sz w:val="17"/>
                <w:szCs w:val="17"/>
                <w:color w:val="auto"/>
              </w:rPr>
            </w:pPr>
          </w:p>
        </w:tc>
        <w:tc>
          <w:tcPr>
            <w:tcW w:w="43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2219325</wp:posOffset>
            </wp:positionH>
            <wp:positionV relativeFrom="page">
              <wp:posOffset>5000625</wp:posOffset>
            </wp:positionV>
            <wp:extent cx="3110865" cy="9169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3">
                      <a:clrChange>
                        <a:clrFrom>
                          <a:srgbClr val="FFFFFF"/>
                        </a:clrFrom>
                        <a:clrTo>
                          <a:srgbClr val="FFFFFF">
                            <a:alpha val="0"/>
                          </a:srgbClr>
                        </a:clrTo>
                      </a:clrChange>
                      <a:extLst>
                        <a:ext uri="{28A0092B-C50C-407E-A947-70E740481C1C}"/>
                      </a:extLst>
                    </a:blip>
                    <a:srcRect/>
                    <a:stretch>
                      <a:fillRect/>
                    </a:stretch>
                  </pic:blipFill>
                  <pic:spPr bwMode="auto">
                    <a:xfrm>
                      <a:off x="0" y="0"/>
                      <a:ext cx="3110865" cy="916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1"/>
          <w:szCs w:val="2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highlight w:val="black"/>
        </w:rPr>
        <w:t>FORM OF REPAYMENT AGREEMENT</w:t>
      </w:r>
    </w:p>
    <w:p>
      <w:pPr>
        <w:spacing w:after="0" w:line="292" w:lineRule="exact"/>
        <w:rPr>
          <w:sz w:val="20"/>
          <w:szCs w:val="20"/>
          <w:color w:val="auto"/>
        </w:rPr>
      </w:pPr>
    </w:p>
    <w:p>
      <w:pPr>
        <w:ind w:left="4100"/>
        <w:spacing w:after="0"/>
        <w:rPr>
          <w:sz w:val="20"/>
          <w:szCs w:val="20"/>
          <w:color w:val="auto"/>
        </w:rPr>
      </w:pPr>
      <w:r>
        <w:rPr>
          <w:rFonts w:ascii="Arial" w:cs="Arial" w:eastAsia="Arial" w:hAnsi="Arial"/>
          <w:sz w:val="15"/>
          <w:szCs w:val="15"/>
          <w:color w:val="auto"/>
          <w:highlight w:val="black"/>
        </w:rPr>
        <w:t>RELOCATION REPAYMENT AGREEMENT</w:t>
      </w:r>
    </w:p>
    <w:p>
      <w:pPr>
        <w:spacing w:after="0" w:line="230" w:lineRule="exact"/>
        <w:rPr>
          <w:sz w:val="20"/>
          <w:szCs w:val="20"/>
          <w:color w:val="auto"/>
        </w:rPr>
      </w:pPr>
    </w:p>
    <w:p>
      <w:pPr>
        <w:ind w:right="40"/>
        <w:spacing w:after="0" w:line="230" w:lineRule="auto"/>
        <w:rPr>
          <w:sz w:val="20"/>
          <w:szCs w:val="20"/>
          <w:color w:val="auto"/>
        </w:rPr>
      </w:pPr>
      <w:r>
        <w:rPr>
          <w:rFonts w:ascii="Calibri" w:cs="Calibri" w:eastAsia="Calibri" w:hAnsi="Calibri"/>
          <w:sz w:val="19"/>
          <w:szCs w:val="19"/>
          <w:color w:val="auto"/>
        </w:rPr>
        <w:t>By acceptng fnancial assistance from Fannie Mae to relocate my family and residence to the destnaton ofce locaton area, (“Relocaton Benefts”), I afrm that it is my intenton to remain with Fannie Mae for a reasonable period as provided below. Accordingly, I acknowledge and agree that payment of Relocaton Benefts by Fannie Mae to me (or to others on my behalf) are conditoned upon my contnued employment with Fannie Mae for a minimum of eighteen months (18) from my initaton date or the efectve date of my transfer to destnaton ofce locaton whichever is later.</w:t>
      </w:r>
    </w:p>
    <w:p>
      <w:pPr>
        <w:spacing w:after="0" w:line="229" w:lineRule="exact"/>
        <w:rPr>
          <w:sz w:val="20"/>
          <w:szCs w:val="20"/>
          <w:color w:val="auto"/>
        </w:rPr>
      </w:pPr>
    </w:p>
    <w:p>
      <w:pPr>
        <w:ind w:right="120"/>
        <w:spacing w:after="0" w:line="233" w:lineRule="auto"/>
        <w:rPr>
          <w:sz w:val="20"/>
          <w:szCs w:val="20"/>
          <w:color w:val="auto"/>
        </w:rPr>
      </w:pPr>
      <w:r>
        <w:rPr>
          <w:rFonts w:ascii="Calibri" w:cs="Calibri" w:eastAsia="Calibri" w:hAnsi="Calibri"/>
          <w:sz w:val="19"/>
          <w:szCs w:val="19"/>
          <w:color w:val="auto"/>
        </w:rPr>
        <w:t>I understand in the event that I voluntarily terminate my employment or am involuntarily terminated for misconduct within this eighteen (18) month period, I hereby promise to reimburse Fannie Mae within 30 days afer my employment terminates for the Relocaton Benefts distributed to me or on my behalf according to the following schedule:</w:t>
      </w:r>
    </w:p>
    <w:p>
      <w:pPr>
        <w:spacing w:after="0" w:line="253" w:lineRule="exact"/>
        <w:rPr>
          <w:sz w:val="20"/>
          <w:szCs w:val="20"/>
          <w:color w:val="auto"/>
        </w:rPr>
      </w:pPr>
    </w:p>
    <w:p>
      <w:pPr>
        <w:ind w:left="620" w:right="140" w:hanging="307"/>
        <w:spacing w:after="0" w:line="230" w:lineRule="auto"/>
        <w:tabs>
          <w:tab w:leader="none" w:pos="609" w:val="left"/>
        </w:tabs>
        <w:numPr>
          <w:ilvl w:val="1"/>
          <w:numId w:val="143"/>
        </w:numPr>
        <w:rPr>
          <w:rFonts w:ascii="Arial" w:cs="Arial" w:eastAsia="Arial" w:hAnsi="Arial"/>
          <w:sz w:val="19"/>
          <w:szCs w:val="19"/>
          <w:color w:val="auto"/>
        </w:rPr>
      </w:pPr>
      <w:r>
        <w:rPr>
          <w:rFonts w:ascii="Calibri" w:cs="Calibri" w:eastAsia="Calibri" w:hAnsi="Calibri"/>
          <w:sz w:val="19"/>
          <w:szCs w:val="19"/>
          <w:color w:val="auto"/>
        </w:rPr>
        <w:t>If my employment terminates based on one of the aforementoned reasons anytme within the frst twelve months from my Initaton Date or Transfer Efectve Date, I promise to reimburse Fannie Mae 100% of the Relocaton Benefts paid to me (or on my behalf).</w:t>
      </w:r>
    </w:p>
    <w:p>
      <w:pPr>
        <w:spacing w:after="0" w:line="238" w:lineRule="exact"/>
        <w:rPr>
          <w:rFonts w:ascii="Arial" w:cs="Arial" w:eastAsia="Arial" w:hAnsi="Arial"/>
          <w:sz w:val="19"/>
          <w:szCs w:val="19"/>
          <w:color w:val="auto"/>
        </w:rPr>
      </w:pPr>
    </w:p>
    <w:p>
      <w:pPr>
        <w:jc w:val="both"/>
        <w:ind w:left="620" w:right="140" w:hanging="307"/>
        <w:spacing w:after="0" w:line="233" w:lineRule="auto"/>
        <w:tabs>
          <w:tab w:leader="none" w:pos="609" w:val="left"/>
        </w:tabs>
        <w:numPr>
          <w:ilvl w:val="1"/>
          <w:numId w:val="143"/>
        </w:numPr>
        <w:rPr>
          <w:rFonts w:ascii="Arial" w:cs="Arial" w:eastAsia="Arial" w:hAnsi="Arial"/>
          <w:sz w:val="19"/>
          <w:szCs w:val="19"/>
          <w:color w:val="auto"/>
        </w:rPr>
      </w:pPr>
      <w:r>
        <w:rPr>
          <w:rFonts w:ascii="Calibri" w:cs="Calibri" w:eastAsia="Calibri" w:hAnsi="Calibri"/>
          <w:sz w:val="19"/>
          <w:szCs w:val="19"/>
          <w:color w:val="auto"/>
        </w:rPr>
        <w:t>If my employment terminates based on one of the aforementoned reasons from the thirteenth month through the eighteenth month from my Initaton Date or Transfer Efectve Date, I promise to repay Fannie Mae for 50% of the Relocaton Benefts paid to me (or on my behalf).</w:t>
      </w:r>
    </w:p>
    <w:p>
      <w:pPr>
        <w:spacing w:after="0" w:line="214" w:lineRule="exact"/>
        <w:rPr>
          <w:rFonts w:ascii="Arial" w:cs="Arial" w:eastAsia="Arial" w:hAnsi="Arial"/>
          <w:sz w:val="19"/>
          <w:szCs w:val="19"/>
          <w:color w:val="auto"/>
        </w:rPr>
      </w:pPr>
    </w:p>
    <w:p>
      <w:pPr>
        <w:ind w:right="120" w:firstLine="3"/>
        <w:spacing w:after="0" w:line="224" w:lineRule="auto"/>
        <w:tabs>
          <w:tab w:leader="none" w:pos="326" w:val="left"/>
        </w:tabs>
        <w:numPr>
          <w:ilvl w:val="0"/>
          <w:numId w:val="143"/>
        </w:numPr>
        <w:rPr>
          <w:rFonts w:ascii="Calibri" w:cs="Calibri" w:eastAsia="Calibri" w:hAnsi="Calibri"/>
          <w:sz w:val="19"/>
          <w:szCs w:val="19"/>
          <w:color w:val="151515"/>
        </w:rPr>
      </w:pPr>
      <w:r>
        <w:rPr>
          <w:rFonts w:ascii="Calibri" w:cs="Calibri" w:eastAsia="Calibri" w:hAnsi="Calibri"/>
          <w:sz w:val="19"/>
          <w:szCs w:val="19"/>
          <w:color w:val="151515"/>
        </w:rPr>
        <w:t>I also authorize Fannie Mae to withhold any Relocaton Benefts I am obligated to repay from my Fannie Mae outstanding compensaton, including but not limited to, from any regular or fnal paycheck, bonus, commission, severance, or other payment owed to me, as necessary to satsfy such indebtedness.</w:t>
      </w:r>
    </w:p>
    <w:p>
      <w:pPr>
        <w:spacing w:after="0" w:line="227" w:lineRule="exact"/>
        <w:rPr>
          <w:rFonts w:ascii="Calibri" w:cs="Calibri" w:eastAsia="Calibri" w:hAnsi="Calibri"/>
          <w:sz w:val="19"/>
          <w:szCs w:val="19"/>
          <w:color w:val="151515"/>
        </w:rPr>
      </w:pPr>
    </w:p>
    <w:p>
      <w:pPr>
        <w:ind w:right="20" w:firstLine="3"/>
        <w:spacing w:after="0" w:line="220" w:lineRule="auto"/>
        <w:tabs>
          <w:tab w:leader="none" w:pos="379" w:val="left"/>
        </w:tabs>
        <w:numPr>
          <w:ilvl w:val="0"/>
          <w:numId w:val="143"/>
        </w:numPr>
        <w:rPr>
          <w:rFonts w:ascii="Calibri" w:cs="Calibri" w:eastAsia="Calibri" w:hAnsi="Calibri"/>
          <w:sz w:val="19"/>
          <w:szCs w:val="19"/>
          <w:color w:val="auto"/>
        </w:rPr>
      </w:pPr>
      <w:r>
        <w:rPr>
          <w:rFonts w:ascii="Calibri" w:cs="Calibri" w:eastAsia="Calibri" w:hAnsi="Calibri"/>
          <w:sz w:val="19"/>
          <w:szCs w:val="19"/>
          <w:color w:val="auto"/>
        </w:rPr>
        <w:t>I understand that any controversy, dispute, or claim arising out of or relatng to this Repayment Agreement, or breach thereof, shall frst be addressed through good faith negotaton. If the dispute cannot be setled through negotaton, I understand that both I and Fannie Mae must submit such controversy, dispute, or claim to arbitraton under my Arbitraton Agreement with Fannie Mae.</w:t>
      </w:r>
    </w:p>
    <w:p>
      <w:pPr>
        <w:spacing w:after="0" w:line="226" w:lineRule="exact"/>
        <w:rPr>
          <w:sz w:val="20"/>
          <w:szCs w:val="20"/>
          <w:color w:val="auto"/>
        </w:rPr>
      </w:pPr>
    </w:p>
    <w:p>
      <w:pPr>
        <w:ind w:right="120"/>
        <w:spacing w:after="0" w:line="224" w:lineRule="auto"/>
        <w:rPr>
          <w:sz w:val="20"/>
          <w:szCs w:val="20"/>
          <w:color w:val="auto"/>
        </w:rPr>
      </w:pPr>
      <w:r>
        <w:rPr>
          <w:rFonts w:ascii="Calibri" w:cs="Calibri" w:eastAsia="Calibri" w:hAnsi="Calibri"/>
          <w:sz w:val="19"/>
          <w:szCs w:val="19"/>
          <w:color w:val="auto"/>
        </w:rPr>
        <w:t>I understand and agree that all relocaton benefts extended to me by Fannie Mae are gratuitous; and neither the extension of Relocaton Benefts nor this agreement shall be construed to obligate Fannie Mae to retain me in its employ for any specifed period of tme. Fannie Mae, at any tme, may terminate the employment relatonship with or without cause and with or without notce.</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21"/>
          <w:szCs w:val="21"/>
          <w:color w:val="auto"/>
        </w:rPr>
        <w:t>EMPLOYEE NAME (Please Print):</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1"/>
          <w:szCs w:val="21"/>
          <w:color w:val="auto"/>
        </w:rPr>
        <w:t>SIGNATURE: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1"/>
          <w:szCs w:val="21"/>
          <w:color w:val="auto"/>
        </w:rPr>
        <w:t>DATE OF SIGNATURE: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1"/>
          <w:szCs w:val="21"/>
          <w:color w:val="auto"/>
        </w:rPr>
        <w:t>INITIATION or TRANSFER DATE:</w:t>
      </w:r>
    </w:p>
    <w:p>
      <w:pPr>
        <w:sectPr>
          <w:pgSz w:w="11900" w:h="16838" w:orient="portrait"/>
          <w:cols w:equalWidth="0" w:num="1">
            <w:col w:w="11240"/>
          </w:cols>
          <w:pgMar w:left="320" w:top="359"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b w:val="1"/>
          <w:bCs w:val="1"/>
          <w:color w:val="auto"/>
        </w:rPr>
        <w:t>PURSUANT TO SECURITIES EXCHANGE ACT RULE 13a-14(a)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Priscilla Almodovar, certify that:</w:t>
      </w:r>
    </w:p>
    <w:p>
      <w:pPr>
        <w:spacing w:after="0" w:line="55" w:lineRule="exact"/>
        <w:rPr>
          <w:sz w:val="20"/>
          <w:szCs w:val="20"/>
          <w:color w:val="auto"/>
        </w:rPr>
      </w:pPr>
    </w:p>
    <w:p>
      <w:pPr>
        <w:ind w:left="240" w:right="400" w:hanging="198"/>
        <w:spacing w:after="0" w:line="269" w:lineRule="auto"/>
        <w:tabs>
          <w:tab w:leader="none" w:pos="408"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for the quarter ended June 30, 2024 of Fannie Mae (formally, the Federal National Mortgage Association);</w:t>
      </w:r>
    </w:p>
    <w:p>
      <w:pPr>
        <w:ind w:left="240" w:right="200" w:hanging="198"/>
        <w:spacing w:after="0" w:line="262" w:lineRule="auto"/>
        <w:tabs>
          <w:tab w:leader="none" w:pos="408"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Times New Roman" w:cs="Times New Roman" w:eastAsia="Times New Roman" w:hAnsi="Times New Roman"/>
          <w:sz w:val="21"/>
          <w:szCs w:val="21"/>
          <w:color w:val="auto"/>
        </w:rPr>
      </w:pPr>
    </w:p>
    <w:p>
      <w:pPr>
        <w:ind w:left="240" w:right="100" w:hanging="198"/>
        <w:spacing w:after="0" w:line="256" w:lineRule="auto"/>
        <w:tabs>
          <w:tab w:leader="none" w:pos="408"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21"/>
          <w:szCs w:val="21"/>
          <w:color w:val="auto"/>
        </w:rPr>
      </w:pPr>
    </w:p>
    <w:p>
      <w:pPr>
        <w:ind w:left="240" w:right="20" w:hanging="198"/>
        <w:spacing w:after="0" w:line="262" w:lineRule="auto"/>
        <w:tabs>
          <w:tab w:leader="none" w:pos="404"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21"/>
          <w:szCs w:val="21"/>
          <w:color w:val="auto"/>
        </w:rPr>
      </w:pPr>
    </w:p>
    <w:p>
      <w:pPr>
        <w:jc w:val="both"/>
        <w:ind w:left="500" w:right="140" w:hanging="187"/>
        <w:spacing w:after="0" w:line="256" w:lineRule="auto"/>
        <w:tabs>
          <w:tab w:leader="none" w:pos="656"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21"/>
          <w:szCs w:val="21"/>
          <w:color w:val="auto"/>
        </w:rPr>
      </w:pPr>
    </w:p>
    <w:p>
      <w:pPr>
        <w:ind w:left="500" w:right="160" w:hanging="187"/>
        <w:spacing w:after="0" w:line="262" w:lineRule="auto"/>
        <w:tabs>
          <w:tab w:leader="none" w:pos="668"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21"/>
          <w:szCs w:val="21"/>
          <w:color w:val="auto"/>
        </w:rPr>
      </w:pPr>
    </w:p>
    <w:p>
      <w:pPr>
        <w:ind w:left="500" w:right="80" w:hanging="187"/>
        <w:spacing w:after="0" w:line="256" w:lineRule="auto"/>
        <w:tabs>
          <w:tab w:leader="none" w:pos="656"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21"/>
          <w:szCs w:val="21"/>
          <w:color w:val="auto"/>
        </w:rPr>
      </w:pPr>
    </w:p>
    <w:p>
      <w:pPr>
        <w:ind w:left="500" w:right="460" w:hanging="187"/>
        <w:spacing w:after="0" w:line="273" w:lineRule="auto"/>
        <w:tabs>
          <w:tab w:leader="none" w:pos="668"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240" w:right="220" w:hanging="198"/>
        <w:spacing w:after="0" w:line="256" w:lineRule="auto"/>
        <w:tabs>
          <w:tab w:leader="none" w:pos="404"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21"/>
          <w:szCs w:val="21"/>
          <w:color w:val="auto"/>
        </w:rPr>
      </w:pPr>
    </w:p>
    <w:p>
      <w:pPr>
        <w:ind w:left="500" w:right="20" w:hanging="187"/>
        <w:spacing w:after="0" w:line="256" w:lineRule="auto"/>
        <w:tabs>
          <w:tab w:leader="none" w:pos="645"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21"/>
          <w:szCs w:val="21"/>
          <w:color w:val="auto"/>
        </w:rPr>
      </w:pPr>
    </w:p>
    <w:p>
      <w:pPr>
        <w:ind w:left="500" w:right="40" w:hanging="187"/>
        <w:spacing w:after="0" w:line="262" w:lineRule="auto"/>
        <w:tabs>
          <w:tab w:leader="none" w:pos="656"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1"/>
          <w:szCs w:val="21"/>
          <w:color w:val="auto"/>
        </w:rPr>
        <w:t>/s/ Priscilla Almodovar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18415</wp:posOffset>
            </wp:positionV>
            <wp:extent cx="338074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4">
                      <a:extLst>
                        <a:ext uri="{28A0092B-C50C-407E-A947-70E740481C1C}"/>
                      </a:extLst>
                    </a:blip>
                    <a:srcRect/>
                    <a:stretch>
                      <a:fillRect/>
                    </a:stretch>
                  </pic:blipFill>
                  <pic:spPr bwMode="auto">
                    <a:xfrm>
                      <a:off x="0" y="0"/>
                      <a:ext cx="3380740" cy="8255"/>
                    </a:xfrm>
                    <a:prstGeom prst="rect">
                      <a:avLst/>
                    </a:prstGeom>
                    <a:noFill/>
                  </pic:spPr>
                </pic:pic>
              </a:graphicData>
            </a:graphic>
          </wp:anchor>
        </w:drawing>
      </w:r>
    </w:p>
    <w:p>
      <w:pPr>
        <w:ind w:left="5840"/>
        <w:spacing w:after="0"/>
        <w:rPr>
          <w:sz w:val="20"/>
          <w:szCs w:val="20"/>
          <w:color w:val="auto"/>
        </w:rPr>
      </w:pPr>
      <w:r>
        <w:rPr>
          <w:rFonts w:ascii="Times New Roman" w:cs="Times New Roman" w:eastAsia="Times New Roman" w:hAnsi="Times New Roman"/>
          <w:sz w:val="21"/>
          <w:szCs w:val="21"/>
          <w:color w:val="auto"/>
        </w:rPr>
        <w:t>Priscilla Almodovar</w:t>
      </w:r>
    </w:p>
    <w:p>
      <w:pPr>
        <w:ind w:left="5840"/>
        <w:spacing w:after="0"/>
        <w:rPr>
          <w:sz w:val="20"/>
          <w:szCs w:val="20"/>
          <w:color w:val="auto"/>
        </w:rPr>
      </w:pPr>
      <w:r>
        <w:rPr>
          <w:rFonts w:ascii="Times New Roman" w:cs="Times New Roman" w:eastAsia="Times New Roman" w:hAnsi="Times New Roman"/>
          <w:sz w:val="21"/>
          <w:szCs w:val="21"/>
          <w:color w:val="auto"/>
        </w:rPr>
        <w:t>President and Chief Executive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July 30, 2024</w:t>
      </w:r>
    </w:p>
    <w:p>
      <w:pPr>
        <w:sectPr>
          <w:pgSz w:w="11900" w:h="16838" w:orient="portrait"/>
          <w:cols w:equalWidth="0" w:num="1">
            <w:col w:w="11240"/>
          </w:cols>
          <w:pgMar w:left="320" w:top="858"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b w:val="1"/>
          <w:bCs w:val="1"/>
          <w:color w:val="auto"/>
        </w:rPr>
        <w:t>PURSUANT TO SECURITIES EXCHANGE ACT RULE 13a-14(a)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Chryssa C. Halley, certify that:</w:t>
      </w:r>
    </w:p>
    <w:p>
      <w:pPr>
        <w:spacing w:after="0" w:line="55" w:lineRule="exact"/>
        <w:rPr>
          <w:sz w:val="20"/>
          <w:szCs w:val="20"/>
          <w:color w:val="auto"/>
        </w:rPr>
      </w:pPr>
    </w:p>
    <w:p>
      <w:pPr>
        <w:ind w:left="240" w:right="400" w:hanging="198"/>
        <w:spacing w:after="0" w:line="269" w:lineRule="auto"/>
        <w:tabs>
          <w:tab w:leader="none" w:pos="408"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for the quarter ended June 30, 2024 of Fannie Mae (formally, the Federal National Mortgage Association);</w:t>
      </w:r>
    </w:p>
    <w:p>
      <w:pPr>
        <w:ind w:left="240" w:right="200" w:hanging="198"/>
        <w:spacing w:after="0" w:line="262" w:lineRule="auto"/>
        <w:tabs>
          <w:tab w:leader="none" w:pos="408"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Times New Roman" w:cs="Times New Roman" w:eastAsia="Times New Roman" w:hAnsi="Times New Roman"/>
          <w:sz w:val="21"/>
          <w:szCs w:val="21"/>
          <w:color w:val="auto"/>
        </w:rPr>
      </w:pPr>
    </w:p>
    <w:p>
      <w:pPr>
        <w:ind w:left="240" w:right="100" w:hanging="198"/>
        <w:spacing w:after="0" w:line="256" w:lineRule="auto"/>
        <w:tabs>
          <w:tab w:leader="none" w:pos="408"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21"/>
          <w:szCs w:val="21"/>
          <w:color w:val="auto"/>
        </w:rPr>
      </w:pPr>
    </w:p>
    <w:p>
      <w:pPr>
        <w:ind w:left="240" w:right="20" w:hanging="198"/>
        <w:spacing w:after="0" w:line="262" w:lineRule="auto"/>
        <w:tabs>
          <w:tab w:leader="none" w:pos="404"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21"/>
          <w:szCs w:val="21"/>
          <w:color w:val="auto"/>
        </w:rPr>
      </w:pPr>
    </w:p>
    <w:p>
      <w:pPr>
        <w:jc w:val="both"/>
        <w:ind w:left="500" w:right="140" w:hanging="187"/>
        <w:spacing w:after="0" w:line="256" w:lineRule="auto"/>
        <w:tabs>
          <w:tab w:leader="none" w:pos="656"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21"/>
          <w:szCs w:val="21"/>
          <w:color w:val="auto"/>
        </w:rPr>
      </w:pPr>
    </w:p>
    <w:p>
      <w:pPr>
        <w:ind w:left="500" w:right="160" w:hanging="187"/>
        <w:spacing w:after="0" w:line="262" w:lineRule="auto"/>
        <w:tabs>
          <w:tab w:leader="none" w:pos="668"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21"/>
          <w:szCs w:val="21"/>
          <w:color w:val="auto"/>
        </w:rPr>
      </w:pPr>
    </w:p>
    <w:p>
      <w:pPr>
        <w:ind w:left="500" w:right="80" w:hanging="187"/>
        <w:spacing w:after="0" w:line="256" w:lineRule="auto"/>
        <w:tabs>
          <w:tab w:leader="none" w:pos="656"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21"/>
          <w:szCs w:val="21"/>
          <w:color w:val="auto"/>
        </w:rPr>
      </w:pPr>
    </w:p>
    <w:p>
      <w:pPr>
        <w:ind w:left="500" w:right="460" w:hanging="187"/>
        <w:spacing w:after="0" w:line="273" w:lineRule="auto"/>
        <w:tabs>
          <w:tab w:leader="none" w:pos="668"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240" w:right="220" w:hanging="198"/>
        <w:spacing w:after="0" w:line="256" w:lineRule="auto"/>
        <w:tabs>
          <w:tab w:leader="none" w:pos="404"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21"/>
          <w:szCs w:val="21"/>
          <w:color w:val="auto"/>
        </w:rPr>
      </w:pPr>
    </w:p>
    <w:p>
      <w:pPr>
        <w:ind w:left="500" w:right="20" w:hanging="187"/>
        <w:spacing w:after="0" w:line="256" w:lineRule="auto"/>
        <w:tabs>
          <w:tab w:leader="none" w:pos="645"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21"/>
          <w:szCs w:val="21"/>
          <w:color w:val="auto"/>
        </w:rPr>
      </w:pPr>
    </w:p>
    <w:p>
      <w:pPr>
        <w:ind w:left="500" w:right="40" w:hanging="187"/>
        <w:spacing w:after="0" w:line="262" w:lineRule="auto"/>
        <w:tabs>
          <w:tab w:leader="none" w:pos="656"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18415</wp:posOffset>
            </wp:positionV>
            <wp:extent cx="266065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5">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21"/>
          <w:szCs w:val="21"/>
          <w:color w:val="auto"/>
        </w:rPr>
        <w:t>Chryssa C. Halley</w:t>
      </w:r>
    </w:p>
    <w:p>
      <w:pPr>
        <w:ind w:left="6100"/>
        <w:spacing w:after="0" w:line="205" w:lineRule="auto"/>
        <w:rPr>
          <w:sz w:val="20"/>
          <w:szCs w:val="20"/>
          <w:color w:val="auto"/>
        </w:rPr>
      </w:pPr>
      <w:r>
        <w:rPr>
          <w:rFonts w:ascii="Times New Roman" w:cs="Times New Roman" w:eastAsia="Times New Roman" w:hAnsi="Times New Roman"/>
          <w:sz w:val="21"/>
          <w:szCs w:val="21"/>
          <w:color w:val="auto"/>
        </w:rPr>
        <w:t>Executive Vice President and Chief Financial</w:t>
      </w:r>
    </w:p>
    <w:p>
      <w:pPr>
        <w:ind w:left="6100"/>
        <w:spacing w:after="0"/>
        <w:rPr>
          <w:sz w:val="20"/>
          <w:szCs w:val="20"/>
          <w:color w:val="auto"/>
        </w:rPr>
      </w:pPr>
      <w:r>
        <w:rPr>
          <w:rFonts w:ascii="Times New Roman" w:cs="Times New Roman" w:eastAsia="Times New Roman" w:hAnsi="Times New Roman"/>
          <w:sz w:val="21"/>
          <w:szCs w:val="21"/>
          <w:color w:val="auto"/>
        </w:rPr>
        <w:t>Officer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July 30, 2024</w:t>
      </w:r>
    </w:p>
    <w:p>
      <w:pPr>
        <w:sectPr>
          <w:pgSz w:w="11900" w:h="16838" w:orient="portrait"/>
          <w:cols w:equalWidth="0" w:num="1">
            <w:col w:w="11240"/>
          </w:cols>
          <w:pgMar w:left="320" w:top="858"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20"/>
          <w:szCs w:val="20"/>
          <w:color w:val="auto"/>
        </w:rPr>
        <w:t>In connection with the Quarterly Report on Form 10-Q of Fannie Mae (formally, the Federal National Mortgage Association) for the quarter ended June 30, 2024, as filed with the Securities and Exchange Commission on the date hereof (the "Report"), I, Priscilla Almodovar, President and Chief Executive Officer of Fannie Mae, certify, pursuant to 18 U.S.C. Section 1350, that to my knowledge:</w:t>
      </w:r>
    </w:p>
    <w:p>
      <w:pPr>
        <w:spacing w:after="0" w:line="169" w:lineRule="exact"/>
        <w:rPr>
          <w:sz w:val="20"/>
          <w:szCs w:val="20"/>
          <w:color w:val="auto"/>
        </w:rPr>
      </w:pPr>
    </w:p>
    <w:p>
      <w:pPr>
        <w:ind w:left="240" w:right="660" w:hanging="198"/>
        <w:spacing w:after="0" w:line="269" w:lineRule="auto"/>
        <w:tabs>
          <w:tab w:leader="none" w:pos="404"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as applicable, of the Securities Exchange Act of 1934; and</w:t>
      </w:r>
    </w:p>
    <w:p>
      <w:pPr>
        <w:spacing w:after="0" w:line="180" w:lineRule="exact"/>
        <w:rPr>
          <w:rFonts w:ascii="Times New Roman" w:cs="Times New Roman" w:eastAsia="Times New Roman" w:hAnsi="Times New Roman"/>
          <w:sz w:val="21"/>
          <w:szCs w:val="21"/>
          <w:color w:val="auto"/>
        </w:rPr>
      </w:pPr>
    </w:p>
    <w:p>
      <w:pPr>
        <w:ind w:left="240" w:right="60" w:hanging="198"/>
        <w:spacing w:after="0" w:line="262" w:lineRule="auto"/>
        <w:tabs>
          <w:tab w:leader="none" w:pos="404"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Fannie Mae.</w:t>
      </w:r>
    </w:p>
    <w:p>
      <w:pPr>
        <w:spacing w:after="0" w:line="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1"/>
          <w:szCs w:val="21"/>
          <w:color w:val="auto"/>
        </w:rPr>
        <w:t>/s/ Priscilla Almodovar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3604260</wp:posOffset>
            </wp:positionH>
            <wp:positionV relativeFrom="paragraph">
              <wp:posOffset>18415</wp:posOffset>
            </wp:positionV>
            <wp:extent cx="353631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6">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21"/>
          <w:szCs w:val="21"/>
          <w:color w:val="auto"/>
        </w:rPr>
        <w:t>Priscilla Almodovar</w:t>
      </w:r>
    </w:p>
    <w:p>
      <w:pPr>
        <w:ind w:left="5700"/>
        <w:spacing w:after="0"/>
        <w:rPr>
          <w:sz w:val="20"/>
          <w:szCs w:val="20"/>
          <w:color w:val="auto"/>
        </w:rPr>
      </w:pPr>
      <w:r>
        <w:rPr>
          <w:rFonts w:ascii="Times New Roman" w:cs="Times New Roman" w:eastAsia="Times New Roman" w:hAnsi="Times New Roman"/>
          <w:sz w:val="21"/>
          <w:szCs w:val="21"/>
          <w:color w:val="auto"/>
        </w:rPr>
        <w:t>President and Chief Executive Officer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July 30, 2024</w:t>
      </w:r>
    </w:p>
    <w:p>
      <w:pPr>
        <w:spacing w:after="0" w:line="24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58"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0" w:lineRule="exact"/>
        <w:rPr>
          <w:sz w:val="20"/>
          <w:szCs w:val="20"/>
          <w:color w:val="auto"/>
        </w:rPr>
      </w:pPr>
    </w:p>
    <w:p>
      <w:pPr>
        <w:jc w:val="both"/>
        <w:ind w:right="300"/>
        <w:spacing w:after="0" w:line="256" w:lineRule="auto"/>
        <w:rPr>
          <w:sz w:val="20"/>
          <w:szCs w:val="20"/>
          <w:color w:val="auto"/>
        </w:rPr>
      </w:pPr>
      <w:r>
        <w:rPr>
          <w:rFonts w:ascii="Times New Roman" w:cs="Times New Roman" w:eastAsia="Times New Roman" w:hAnsi="Times New Roman"/>
          <w:sz w:val="21"/>
          <w:szCs w:val="21"/>
          <w:color w:val="auto"/>
        </w:rPr>
        <w:t>In connection with the Quarterly Report on Form 10-Q of Fannie Mae (formally, the Federal National Mortgage Association) for the quarter ended June 30, 2024, as filed with the Securities and Exchange Commission on the date hereof (the “Report”), I, Chryssa C. Halley, Executive Vice President and Chief Financial Officer of Fannie Mae, certify, pursuant to 18 U.S.C. Section 1350, that to my knowledge:</w:t>
      </w:r>
    </w:p>
    <w:p>
      <w:pPr>
        <w:spacing w:after="0" w:line="194" w:lineRule="exact"/>
        <w:rPr>
          <w:sz w:val="20"/>
          <w:szCs w:val="20"/>
          <w:color w:val="auto"/>
        </w:rPr>
      </w:pPr>
    </w:p>
    <w:p>
      <w:pPr>
        <w:ind w:left="240" w:right="660" w:hanging="198"/>
        <w:spacing w:after="0" w:line="269" w:lineRule="auto"/>
        <w:tabs>
          <w:tab w:leader="none" w:pos="404"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as applicable, of the Securities Exchange Act of 1934; and</w:t>
      </w:r>
    </w:p>
    <w:p>
      <w:pPr>
        <w:spacing w:after="0" w:line="193" w:lineRule="exact"/>
        <w:rPr>
          <w:rFonts w:ascii="Times New Roman" w:cs="Times New Roman" w:eastAsia="Times New Roman" w:hAnsi="Times New Roman"/>
          <w:sz w:val="21"/>
          <w:szCs w:val="21"/>
          <w:color w:val="auto"/>
        </w:rPr>
      </w:pPr>
    </w:p>
    <w:p>
      <w:pPr>
        <w:ind w:left="240" w:right="60" w:hanging="198"/>
        <w:spacing w:after="0" w:line="269" w:lineRule="auto"/>
        <w:tabs>
          <w:tab w:leader="none" w:pos="404"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Fannie Mae.</w:t>
      </w:r>
    </w:p>
    <w:p>
      <w:pPr>
        <w:spacing w:after="0" w:line="20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18415</wp:posOffset>
            </wp:positionV>
            <wp:extent cx="277495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7">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ind w:left="6900"/>
        <w:spacing w:after="0"/>
        <w:rPr>
          <w:sz w:val="20"/>
          <w:szCs w:val="20"/>
          <w:color w:val="auto"/>
        </w:rPr>
      </w:pPr>
      <w:r>
        <w:rPr>
          <w:rFonts w:ascii="Times New Roman" w:cs="Times New Roman" w:eastAsia="Times New Roman" w:hAnsi="Times New Roman"/>
          <w:sz w:val="21"/>
          <w:szCs w:val="21"/>
          <w:color w:val="auto"/>
        </w:rPr>
        <w:t>Chryssa C. Halley</w:t>
      </w:r>
    </w:p>
    <w:p>
      <w:pPr>
        <w:ind w:left="6900"/>
        <w:spacing w:after="0" w:line="205" w:lineRule="auto"/>
        <w:rPr>
          <w:sz w:val="20"/>
          <w:szCs w:val="20"/>
          <w:color w:val="auto"/>
        </w:rPr>
      </w:pPr>
      <w:r>
        <w:rPr>
          <w:rFonts w:ascii="Times New Roman" w:cs="Times New Roman" w:eastAsia="Times New Roman" w:hAnsi="Times New Roman"/>
          <w:sz w:val="21"/>
          <w:szCs w:val="21"/>
          <w:color w:val="auto"/>
        </w:rPr>
        <w:t>Executive Vice President and Chief Financial</w:t>
      </w:r>
    </w:p>
    <w:p>
      <w:pPr>
        <w:ind w:left="6900"/>
        <w:spacing w:after="0"/>
        <w:rPr>
          <w:sz w:val="20"/>
          <w:szCs w:val="20"/>
          <w:color w:val="auto"/>
        </w:rPr>
      </w:pPr>
      <w:r>
        <w:rPr>
          <w:rFonts w:ascii="Times New Roman" w:cs="Times New Roman" w:eastAsia="Times New Roman" w:hAnsi="Times New Roman"/>
          <w:sz w:val="21"/>
          <w:szCs w:val="21"/>
          <w:color w:val="auto"/>
        </w:rPr>
        <w:t>Officer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July 30, 2024</w:t>
      </w:r>
    </w:p>
    <w:p>
      <w:pPr>
        <w:spacing w:after="0" w:line="200" w:lineRule="exact"/>
        <w:rPr>
          <w:sz w:val="20"/>
          <w:szCs w:val="20"/>
          <w:color w:val="auto"/>
        </w:rPr>
      </w:pPr>
    </w:p>
    <w:p>
      <w:pPr>
        <w:spacing w:after="0" w:line="26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1)"/>
      <w:numFmt w:val="decimal"/>
      <w:start w:val="1"/>
    </w:lvl>
  </w:abstractNum>
  <w:abstractNum w:abstractNumId="5">
    <w:nsid w:val="BF72B14"/>
    <w:multiLevelType w:val="hybridMultilevel"/>
    <w:lvl w:ilvl="0">
      <w:lvlJc w:val="left"/>
      <w:lvlText w:val="(%1)"/>
      <w:numFmt w:val="decimal"/>
      <w:start w:val="1"/>
    </w:lvl>
  </w:abstractNum>
  <w:abstractNum w:abstractNumId="6">
    <w:nsid w:val="11447B73"/>
    <w:multiLevelType w:val="hybridMultilevel"/>
    <w:lvl w:ilvl="0">
      <w:lvlJc w:val="left"/>
      <w:lvlText w:val="(%1)"/>
      <w:numFmt w:val="decimal"/>
      <w:start w:val="1"/>
    </w:lvl>
  </w:abstractNum>
  <w:abstractNum w:abstractNumId="7">
    <w:nsid w:val="42963E5A"/>
    <w:multiLevelType w:val="hybridMultilevel"/>
    <w:lvl w:ilvl="0">
      <w:lvlJc w:val="left"/>
      <w:lvlText w:val="(%1)"/>
      <w:numFmt w:val="decimal"/>
      <w:start w:val="1"/>
    </w:lvl>
  </w:abstractNum>
  <w:abstractNum w:abstractNumId="8">
    <w:nsid w:val="A0382C5"/>
    <w:multiLevelType w:val="hybridMultilevel"/>
    <w:lvl w:ilvl="0">
      <w:lvlJc w:val="left"/>
      <w:lvlText w:val="(%1)"/>
      <w:numFmt w:val="decimal"/>
      <w:start w:val="1"/>
    </w:lvl>
  </w:abstractNum>
  <w:abstractNum w:abstractNumId="9">
    <w:nsid w:val="8F2B15E"/>
    <w:multiLevelType w:val="hybridMultilevel"/>
    <w:lvl w:ilvl="0">
      <w:lvlJc w:val="left"/>
      <w:lvlText w:val="(%1)"/>
      <w:numFmt w:val="decimal"/>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1)"/>
      <w:numFmt w:val="decimal"/>
      <w:start w:val="1"/>
    </w:lvl>
  </w:abstractNum>
  <w:abstractNum w:abstractNumId="13">
    <w:nsid w:val="4962813B"/>
    <w:multiLevelType w:val="hybridMultilevel"/>
    <w:lvl w:ilvl="0">
      <w:lvlJc w:val="left"/>
      <w:lvlText w:val="(%1)"/>
      <w:numFmt w:val="decimal"/>
      <w:start w:val="1"/>
    </w:lvl>
  </w:abstractNum>
  <w:abstractNum w:abstractNumId="14">
    <w:nsid w:val="60B6DF70"/>
    <w:multiLevelType w:val="hybridMultilevel"/>
    <w:lvl w:ilvl="0">
      <w:lvlJc w:val="left"/>
      <w:lvlText w:val="(%1)"/>
      <w:numFmt w:val="decimal"/>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1)"/>
      <w:numFmt w:val="decimal"/>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1)"/>
      <w:numFmt w:val="decimal"/>
      <w:start w:val="1"/>
    </w:lvl>
  </w:abstractNum>
  <w:abstractNum w:abstractNumId="21">
    <w:nsid w:val="7FB7E0AA"/>
    <w:multiLevelType w:val="hybridMultilevel"/>
    <w:lvl w:ilvl="0">
      <w:lvlJc w:val="left"/>
      <w:lvlText w:val="(%1)"/>
      <w:numFmt w:val="decimal"/>
      <w:start w:val="4"/>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1)"/>
      <w:numFmt w:val="decimal"/>
      <w:start w:val="1"/>
    </w:lvl>
  </w:abstractNum>
  <w:abstractNum w:abstractNumId="25">
    <w:nsid w:val="885E1B"/>
    <w:multiLevelType w:val="hybridMultilevel"/>
    <w:lvl w:ilvl="0">
      <w:lvlJc w:val="left"/>
      <w:lvlText w:val="(%1)"/>
      <w:numFmt w:val="decimal"/>
      <w:start w:val="1"/>
    </w:lvl>
  </w:abstractNum>
  <w:abstractNum w:abstractNumId="26">
    <w:nsid w:val="76272110"/>
    <w:multiLevelType w:val="hybridMultilevel"/>
    <w:lvl w:ilvl="0">
      <w:lvlJc w:val="left"/>
      <w:lvlText w:val="(%1)"/>
      <w:numFmt w:val="decimal"/>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1)"/>
      <w:numFmt w:val="decimal"/>
      <w:start w:val="1"/>
    </w:lvl>
  </w:abstractNum>
  <w:abstractNum w:abstractNumId="29">
    <w:nsid w:val="14E17E33"/>
    <w:multiLevelType w:val="hybridMultilevel"/>
    <w:lvl w:ilvl="0">
      <w:lvlJc w:val="left"/>
      <w:lvlText w:val="(%1)"/>
      <w:numFmt w:val="decimal"/>
      <w:start w:val="1"/>
    </w:lvl>
  </w:abstractNum>
  <w:abstractNum w:abstractNumId="30">
    <w:nsid w:val="3222E7CD"/>
    <w:multiLevelType w:val="hybridMultilevel"/>
    <w:lvl w:ilvl="0">
      <w:lvlJc w:val="left"/>
      <w:lvlText w:val="(%1)"/>
      <w:numFmt w:val="decimal"/>
      <w:start w:val="1"/>
    </w:lvl>
  </w:abstractNum>
  <w:abstractNum w:abstractNumId="31">
    <w:nsid w:val="74DE0EE3"/>
    <w:multiLevelType w:val="hybridMultilevel"/>
    <w:lvl w:ilvl="0">
      <w:lvlJc w:val="left"/>
      <w:lvlText w:val="(%1)"/>
      <w:numFmt w:val="decimal"/>
      <w:start w:val="1"/>
    </w:lvl>
  </w:abstractNum>
  <w:abstractNum w:abstractNumId="32">
    <w:nsid w:val="68EBC550"/>
    <w:multiLevelType w:val="hybridMultilevel"/>
    <w:lvl w:ilvl="0">
      <w:lvlJc w:val="left"/>
      <w:lvlText w:val="(%1)"/>
      <w:numFmt w:val="decimal"/>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1)"/>
      <w:numFmt w:val="decimal"/>
      <w:start w:val="1"/>
    </w:lvl>
  </w:abstractNum>
  <w:abstractNum w:abstractNumId="35">
    <w:nsid w:val="4A2AC315"/>
    <w:multiLevelType w:val="hybridMultilevel"/>
    <w:lvl w:ilvl="0">
      <w:lvlJc w:val="left"/>
      <w:lvlText w:val="(%1)"/>
      <w:numFmt w:val="decimal"/>
      <w:start w:val="1"/>
    </w:lvl>
  </w:abstractNum>
  <w:abstractNum w:abstractNumId="36">
    <w:nsid w:val="39EE015C"/>
    <w:multiLevelType w:val="hybridMultilevel"/>
    <w:lvl w:ilvl="0">
      <w:lvlJc w:val="left"/>
      <w:lvlText w:val="(%1)"/>
      <w:numFmt w:val="decimal"/>
      <w:start w:val="1"/>
    </w:lvl>
  </w:abstractNum>
  <w:abstractNum w:abstractNumId="37">
    <w:nsid w:val="57FC4FBB"/>
    <w:multiLevelType w:val="hybridMultilevel"/>
    <w:lvl w:ilvl="0">
      <w:lvlJc w:val="left"/>
      <w:lvlText w:val="(%1)"/>
      <w:numFmt w:val="decimal"/>
      <w:start w:val="1"/>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1)"/>
      <w:numFmt w:val="decimal"/>
      <w:start w:val="1"/>
    </w:lvl>
  </w:abstractNum>
  <w:abstractNum w:abstractNumId="40">
    <w:nsid w:val="60EF0119"/>
    <w:multiLevelType w:val="hybridMultilevel"/>
    <w:lvl w:ilvl="0">
      <w:lvlJc w:val="left"/>
      <w:lvlText w:val="(%1)"/>
      <w:numFmt w:val="decimal"/>
      <w:start w:val="1"/>
    </w:lvl>
  </w:abstractNum>
  <w:abstractNum w:abstractNumId="41">
    <w:nsid w:val="26F324BA"/>
    <w:multiLevelType w:val="hybridMultilevel"/>
    <w:lvl w:ilvl="0">
      <w:lvlJc w:val="left"/>
      <w:lvlText w:val="(%1)"/>
      <w:numFmt w:val="decimal"/>
      <w:start w:val="1"/>
    </w:lvl>
  </w:abstractNum>
  <w:abstractNum w:abstractNumId="42">
    <w:nsid w:val="7F01579B"/>
    <w:multiLevelType w:val="hybridMultilevel"/>
    <w:lvl w:ilvl="0">
      <w:lvlJc w:val="left"/>
      <w:lvlText w:val="*"/>
      <w:numFmt w:val="bullet"/>
      <w:start w:val="1"/>
    </w:lvl>
  </w:abstractNum>
  <w:abstractNum w:abstractNumId="43">
    <w:nsid w:val="49DA307D"/>
    <w:multiLevelType w:val="hybridMultilevel"/>
    <w:lvl w:ilvl="0">
      <w:lvlJc w:val="left"/>
      <w:lvlText w:val="(%1)"/>
      <w:numFmt w:val="decimal"/>
      <w:start w:val="1"/>
    </w:lvl>
  </w:abstractNum>
  <w:abstractNum w:abstractNumId="44">
    <w:nsid w:val="7055A5F5"/>
    <w:multiLevelType w:val="hybridMultilevel"/>
    <w:lvl w:ilvl="0">
      <w:lvlJc w:val="left"/>
      <w:lvlText w:val="(%1)"/>
      <w:numFmt w:val="decimal"/>
      <w:start w:val="4"/>
    </w:lvl>
  </w:abstractNum>
  <w:abstractNum w:abstractNumId="45">
    <w:nsid w:val="5FB8370B"/>
    <w:multiLevelType w:val="hybridMultilevel"/>
    <w:lvl w:ilvl="0">
      <w:lvlJc w:val="left"/>
      <w:lvlText w:val="(%1)"/>
      <w:numFmt w:val="decimal"/>
      <w:start w:val="1"/>
    </w:lvl>
  </w:abstractNum>
  <w:abstractNum w:abstractNumId="46">
    <w:nsid w:val="50801EE1"/>
    <w:multiLevelType w:val="hybridMultilevel"/>
    <w:lvl w:ilvl="0">
      <w:lvlJc w:val="left"/>
      <w:lvlText w:val="(%1)"/>
      <w:numFmt w:val="decimal"/>
      <w:start w:val="1"/>
    </w:lvl>
  </w:abstractNum>
  <w:abstractNum w:abstractNumId="47">
    <w:nsid w:val="488AC1A"/>
    <w:multiLevelType w:val="hybridMultilevel"/>
    <w:lvl w:ilvl="0">
      <w:lvlJc w:val="left"/>
      <w:lvlText w:val="*"/>
      <w:numFmt w:val="bullet"/>
      <w:start w:val="1"/>
    </w:lvl>
  </w:abstractNum>
  <w:abstractNum w:abstractNumId="48">
    <w:nsid w:val="5FB8011C"/>
    <w:multiLevelType w:val="hybridMultilevel"/>
    <w:lvl w:ilvl="0">
      <w:lvlJc w:val="left"/>
      <w:lvlText w:val="(%1)"/>
      <w:numFmt w:val="decimal"/>
      <w:start w:val="1"/>
    </w:lvl>
  </w:abstractNum>
  <w:abstractNum w:abstractNumId="49">
    <w:nsid w:val="6AA78F7F"/>
    <w:multiLevelType w:val="hybridMultilevel"/>
    <w:lvl w:ilvl="0">
      <w:lvlJc w:val="left"/>
      <w:lvlText w:val="(%1)"/>
      <w:numFmt w:val="decimal"/>
      <w:start w:val="1"/>
    </w:lvl>
  </w:abstractNum>
  <w:abstractNum w:abstractNumId="50">
    <w:nsid w:val="7672BD23"/>
    <w:multiLevelType w:val="hybridMultilevel"/>
    <w:lvl w:ilvl="0">
      <w:lvlJc w:val="left"/>
      <w:lvlText w:val="(%1)"/>
      <w:numFmt w:val="decimal"/>
      <w:start w:val="1"/>
    </w:lvl>
  </w:abstractNum>
  <w:abstractNum w:abstractNumId="51">
    <w:nsid w:val="6FC75AF8"/>
    <w:multiLevelType w:val="hybridMultilevel"/>
    <w:lvl w:ilvl="0">
      <w:lvlJc w:val="left"/>
      <w:lvlText w:val="(%1)"/>
      <w:numFmt w:val="decimal"/>
      <w:start w:val="1"/>
    </w:lvl>
  </w:abstractNum>
  <w:abstractNum w:abstractNumId="52">
    <w:nsid w:val="6A5F7029"/>
    <w:multiLevelType w:val="hybridMultilevel"/>
    <w:lvl w:ilvl="0">
      <w:lvlJc w:val="left"/>
      <w:lvlText w:val="(%1)"/>
      <w:numFmt w:val="decimal"/>
      <w:start w:val="1"/>
    </w:lvl>
  </w:abstractNum>
  <w:abstractNum w:abstractNumId="53">
    <w:nsid w:val="7D5E18F8"/>
    <w:multiLevelType w:val="hybridMultilevel"/>
    <w:lvl w:ilvl="0">
      <w:lvlJc w:val="left"/>
      <w:lvlText w:val="•"/>
      <w:numFmt w:val="bullet"/>
      <w:start w:val="1"/>
    </w:lvl>
  </w:abstractNum>
  <w:abstractNum w:abstractNumId="54">
    <w:nsid w:val="5F3534A4"/>
    <w:multiLevelType w:val="hybridMultilevel"/>
    <w:lvl w:ilvl="0">
      <w:lvlJc w:val="left"/>
      <w:lvlText w:val="(%1)"/>
      <w:numFmt w:val="decimal"/>
      <w:start w:val="1"/>
    </w:lvl>
  </w:abstractNum>
  <w:abstractNum w:abstractNumId="55">
    <w:nsid w:val="73A1821B"/>
    <w:multiLevelType w:val="hybridMultilevel"/>
    <w:lvl w:ilvl="0">
      <w:lvlJc w:val="left"/>
      <w:lvlText w:val="(%1)"/>
      <w:numFmt w:val="decimal"/>
      <w:start w:val="3"/>
    </w:lvl>
  </w:abstractNum>
  <w:abstractNum w:abstractNumId="56">
    <w:nsid w:val="7DE67713"/>
    <w:multiLevelType w:val="hybridMultilevel"/>
    <w:lvl w:ilvl="0">
      <w:lvlJc w:val="left"/>
      <w:lvlText w:val="(%1)"/>
      <w:numFmt w:val="decimal"/>
      <w:start w:val="1"/>
    </w:lvl>
  </w:abstractNum>
  <w:abstractNum w:abstractNumId="57">
    <w:nsid w:val="555C55B5"/>
    <w:multiLevelType w:val="hybridMultilevel"/>
    <w:lvl w:ilvl="0">
      <w:lvlJc w:val="left"/>
      <w:lvlText w:val="(%1)"/>
      <w:numFmt w:val="decimal"/>
      <w:start w:val="1"/>
    </w:lvl>
  </w:abstractNum>
  <w:abstractNum w:abstractNumId="58">
    <w:nsid w:val="3FA62ACA"/>
    <w:multiLevelType w:val="hybridMultilevel"/>
    <w:lvl w:ilvl="0">
      <w:lvlJc w:val="left"/>
      <w:lvlText w:val="*"/>
      <w:numFmt w:val="bullet"/>
      <w:start w:val="1"/>
    </w:lvl>
  </w:abstractNum>
  <w:abstractNum w:abstractNumId="59">
    <w:nsid w:val="14FCE74E"/>
    <w:multiLevelType w:val="hybridMultilevel"/>
    <w:lvl w:ilvl="0">
      <w:lvlJc w:val="left"/>
      <w:lvlText w:val="(%1)"/>
      <w:numFmt w:val="decimal"/>
      <w:start w:val="1"/>
    </w:lvl>
  </w:abstractNum>
  <w:abstractNum w:abstractNumId="60">
    <w:nsid w:val="6A3DD3E8"/>
    <w:multiLevelType w:val="hybridMultilevel"/>
    <w:lvl w:ilvl="0">
      <w:lvlJc w:val="left"/>
      <w:lvlText w:val="•"/>
      <w:numFmt w:val="bullet"/>
      <w:start w:val="1"/>
    </w:lvl>
  </w:abstractNum>
  <w:abstractNum w:abstractNumId="61">
    <w:nsid w:val="71C91298"/>
    <w:multiLevelType w:val="hybridMultilevel"/>
    <w:lvl w:ilvl="0">
      <w:lvlJc w:val="left"/>
      <w:lvlText w:val="•"/>
      <w:numFmt w:val="bullet"/>
      <w:start w:val="1"/>
    </w:lvl>
  </w:abstractNum>
  <w:abstractNum w:abstractNumId="62">
    <w:nsid w:val="9DAF632"/>
    <w:multiLevelType w:val="hybridMultilevel"/>
    <w:lvl w:ilvl="0">
      <w:lvlJc w:val="left"/>
      <w:lvlText w:val="•"/>
      <w:numFmt w:val="bullet"/>
      <w:start w:val="1"/>
    </w:lvl>
  </w:abstractNum>
  <w:abstractNum w:abstractNumId="63">
    <w:nsid w:val="53299938"/>
    <w:multiLevelType w:val="hybridMultilevel"/>
    <w:lvl w:ilvl="0">
      <w:lvlJc w:val="left"/>
      <w:lvlText w:val="•"/>
      <w:numFmt w:val="bullet"/>
      <w:start w:val="1"/>
    </w:lvl>
  </w:abstractNum>
  <w:abstractNum w:abstractNumId="64">
    <w:nsid w:val="1FBFE8E0"/>
    <w:multiLevelType w:val="hybridMultilevel"/>
    <w:lvl w:ilvl="0">
      <w:lvlJc w:val="left"/>
      <w:lvlText w:val="•"/>
      <w:numFmt w:val="bullet"/>
      <w:start w:val="1"/>
    </w:lvl>
  </w:abstractNum>
  <w:abstractNum w:abstractNumId="65">
    <w:nsid w:val="5092CA79"/>
    <w:multiLevelType w:val="hybridMultilevel"/>
    <w:lvl w:ilvl="0">
      <w:lvlJc w:val="left"/>
      <w:lvlText w:val="%1."/>
      <w:numFmt w:val="decimal"/>
      <w:start w:val="2"/>
    </w:lvl>
  </w:abstractNum>
  <w:abstractNum w:abstractNumId="66">
    <w:nsid w:val="1D545C4D"/>
    <w:multiLevelType w:val="hybridMultilevel"/>
    <w:lvl w:ilvl="0">
      <w:lvlJc w:val="left"/>
      <w:lvlText w:val="(%1)"/>
      <w:numFmt w:val="decimal"/>
      <w:start w:val="1"/>
    </w:lvl>
  </w:abstractNum>
  <w:abstractNum w:abstractNumId="67">
    <w:nsid w:val="59ADEA3D"/>
    <w:multiLevelType w:val="hybridMultilevel"/>
    <w:lvl w:ilvl="0">
      <w:lvlJc w:val="left"/>
      <w:lvlText w:val="(%1)"/>
      <w:numFmt w:val="decimal"/>
      <w:start w:val="1"/>
    </w:lvl>
  </w:abstractNum>
  <w:abstractNum w:abstractNumId="68">
    <w:nsid w:val="288F1A34"/>
    <w:multiLevelType w:val="hybridMultilevel"/>
    <w:lvl w:ilvl="0">
      <w:lvlJc w:val="left"/>
      <w:lvlText w:val="(%1)"/>
      <w:numFmt w:val="decimal"/>
      <w:start w:val="1"/>
    </w:lvl>
  </w:abstractNum>
  <w:abstractNum w:abstractNumId="69">
    <w:nsid w:val="2A155DBC"/>
    <w:multiLevelType w:val="hybridMultilevel"/>
    <w:lvl w:ilvl="0">
      <w:lvlJc w:val="left"/>
      <w:lvlText w:val="(%1)"/>
      <w:numFmt w:val="decimal"/>
      <w:start w:val="1"/>
    </w:lvl>
  </w:abstractNum>
  <w:abstractNum w:abstractNumId="70">
    <w:nsid w:val="1D9F6E5F"/>
    <w:multiLevelType w:val="hybridMultilevel"/>
    <w:lvl w:ilvl="0">
      <w:lvlJc w:val="left"/>
      <w:lvlText w:val="(%1)"/>
      <w:numFmt w:val="decimal"/>
      <w:start w:val="1"/>
    </w:lvl>
  </w:abstractNum>
  <w:abstractNum w:abstractNumId="71">
    <w:nsid w:val="97E1B4E"/>
    <w:multiLevelType w:val="hybridMultilevel"/>
    <w:lvl w:ilvl="0">
      <w:lvlJc w:val="left"/>
      <w:lvlText w:val="(%1)"/>
      <w:numFmt w:val="decimal"/>
      <w:start w:val="1"/>
    </w:lvl>
  </w:abstractNum>
  <w:abstractNum w:abstractNumId="72">
    <w:nsid w:val="51088277"/>
    <w:multiLevelType w:val="hybridMultilevel"/>
    <w:lvl w:ilvl="0">
      <w:lvlJc w:val="left"/>
      <w:lvlText w:val="*"/>
      <w:numFmt w:val="bullet"/>
      <w:start w:val="1"/>
    </w:lvl>
  </w:abstractNum>
  <w:abstractNum w:abstractNumId="73">
    <w:nsid w:val="1CA0C5FA"/>
    <w:multiLevelType w:val="hybridMultilevel"/>
    <w:lvl w:ilvl="0">
      <w:lvlJc w:val="left"/>
      <w:lvlText w:val="(%1)"/>
      <w:numFmt w:val="decimal"/>
      <w:start w:val="1"/>
    </w:lvl>
  </w:abstractNum>
  <w:abstractNum w:abstractNumId="74">
    <w:nsid w:val="53584BCB"/>
    <w:multiLevelType w:val="hybridMultilevel"/>
    <w:lvl w:ilvl="0">
      <w:lvlJc w:val="left"/>
      <w:lvlText w:val="(%1)"/>
      <w:numFmt w:val="decimal"/>
      <w:start w:val="3"/>
    </w:lvl>
  </w:abstractNum>
  <w:abstractNum w:abstractNumId="75">
    <w:nsid w:val="415E286C"/>
    <w:multiLevelType w:val="hybridMultilevel"/>
    <w:lvl w:ilvl="0">
      <w:lvlJc w:val="left"/>
      <w:lvlText w:val="(%1)"/>
      <w:numFmt w:val="decimal"/>
      <w:start w:val="1"/>
    </w:lvl>
  </w:abstractNum>
  <w:abstractNum w:abstractNumId="76">
    <w:nsid w:val="7C58FD05"/>
    <w:multiLevelType w:val="hybridMultilevel"/>
    <w:lvl w:ilvl="0">
      <w:lvlJc w:val="left"/>
      <w:lvlText w:val="(%1)"/>
      <w:numFmt w:val="decimal"/>
      <w:start w:val="1"/>
    </w:lvl>
  </w:abstractNum>
  <w:abstractNum w:abstractNumId="77">
    <w:nsid w:val="23D86AAC"/>
    <w:multiLevelType w:val="hybridMultilevel"/>
    <w:lvl w:ilvl="0">
      <w:lvlJc w:val="left"/>
      <w:lvlText w:val="(%1)"/>
      <w:numFmt w:val="decimal"/>
      <w:start w:val="1"/>
    </w:lvl>
  </w:abstractNum>
  <w:abstractNum w:abstractNumId="78">
    <w:nsid w:val="45E6D486"/>
    <w:multiLevelType w:val="hybridMultilevel"/>
    <w:lvl w:ilvl="0">
      <w:lvlJc w:val="left"/>
      <w:lvlText w:val="(%1)"/>
      <w:numFmt w:val="decimal"/>
      <w:start w:val="1"/>
    </w:lvl>
  </w:abstractNum>
  <w:abstractNum w:abstractNumId="79">
    <w:nsid w:val="5C10FE21"/>
    <w:multiLevelType w:val="hybridMultilevel"/>
    <w:lvl w:ilvl="0">
      <w:lvlJc w:val="left"/>
      <w:lvlText w:val="(%1)"/>
      <w:numFmt w:val="decimal"/>
      <w:start w:val="2"/>
    </w:lvl>
  </w:abstractNum>
  <w:abstractNum w:abstractNumId="80">
    <w:nsid w:val="E7FFA2B"/>
    <w:multiLevelType w:val="hybridMultilevel"/>
    <w:lvl w:ilvl="0">
      <w:lvlJc w:val="left"/>
      <w:lvlText w:val="•"/>
      <w:numFmt w:val="bullet"/>
      <w:start w:val="1"/>
    </w:lvl>
  </w:abstractNum>
  <w:abstractNum w:abstractNumId="81">
    <w:nsid w:val="3C5991AA"/>
    <w:multiLevelType w:val="hybridMultilevel"/>
    <w:lvl w:ilvl="0">
      <w:lvlJc w:val="left"/>
      <w:lvlText w:val="•"/>
      <w:numFmt w:val="bullet"/>
      <w:start w:val="1"/>
    </w:lvl>
  </w:abstractNum>
  <w:abstractNum w:abstractNumId="82">
    <w:nsid w:val="4BD8591A"/>
    <w:multiLevelType w:val="hybridMultilevel"/>
    <w:lvl w:ilvl="0">
      <w:lvlJc w:val="left"/>
      <w:lvlText w:val="•"/>
      <w:numFmt w:val="bullet"/>
      <w:start w:val="1"/>
    </w:lvl>
  </w:abstractNum>
  <w:abstractNum w:abstractNumId="83">
    <w:nsid w:val="78DF6A55"/>
    <w:multiLevelType w:val="hybridMultilevel"/>
    <w:lvl w:ilvl="0">
      <w:lvlJc w:val="left"/>
      <w:lvlText w:val="(%1)"/>
      <w:numFmt w:val="decimal"/>
      <w:start w:val="1"/>
    </w:lvl>
  </w:abstractNum>
  <w:abstractNum w:abstractNumId="84">
    <w:nsid w:val="39B7AAA2"/>
    <w:multiLevelType w:val="hybridMultilevel"/>
    <w:lvl w:ilvl="0">
      <w:lvlJc w:val="left"/>
      <w:lvlText w:val="(%1)"/>
      <w:numFmt w:val="decimal"/>
      <w:start w:val="1"/>
    </w:lvl>
  </w:abstractNum>
  <w:abstractNum w:abstractNumId="85">
    <w:nsid w:val="2B0D8DBE"/>
    <w:multiLevelType w:val="hybridMultilevel"/>
    <w:lvl w:ilvl="0">
      <w:lvlJc w:val="left"/>
      <w:lvlText w:val="(%1)"/>
      <w:numFmt w:val="decimal"/>
      <w:start w:val="1"/>
    </w:lvl>
  </w:abstractNum>
  <w:abstractNum w:abstractNumId="86">
    <w:nsid w:val="6C80EC70"/>
    <w:multiLevelType w:val="hybridMultilevel"/>
    <w:lvl w:ilvl="0">
      <w:lvlJc w:val="left"/>
      <w:lvlText w:val="(%1)"/>
      <w:numFmt w:val="decimal"/>
      <w:start w:val="1"/>
    </w:lvl>
  </w:abstractNum>
  <w:abstractNum w:abstractNumId="87">
    <w:nsid w:val="379E21B5"/>
    <w:multiLevelType w:val="hybridMultilevel"/>
    <w:lvl w:ilvl="0">
      <w:lvlJc w:val="left"/>
      <w:lvlText w:val="(%1)"/>
      <w:numFmt w:val="decimal"/>
      <w:start w:val="1"/>
    </w:lvl>
  </w:abstractNum>
  <w:abstractNum w:abstractNumId="88">
    <w:nsid w:val="69E373"/>
    <w:multiLevelType w:val="hybridMultilevel"/>
    <w:lvl w:ilvl="0">
      <w:lvlJc w:val="left"/>
      <w:lvlText w:val="(%1)"/>
      <w:numFmt w:val="decimal"/>
      <w:start w:val="1"/>
    </w:lvl>
  </w:abstractNum>
  <w:abstractNum w:abstractNumId="89">
    <w:nsid w:val="2C27173B"/>
    <w:multiLevelType w:val="hybridMultilevel"/>
    <w:lvl w:ilvl="0">
      <w:lvlJc w:val="left"/>
      <w:lvlText w:val="(%1)"/>
      <w:numFmt w:val="decimal"/>
      <w:start w:val="1"/>
    </w:lvl>
  </w:abstractNum>
  <w:abstractNum w:abstractNumId="90">
    <w:nsid w:val="4C9B0904"/>
    <w:multiLevelType w:val="hybridMultilevel"/>
    <w:lvl w:ilvl="0">
      <w:lvlJc w:val="left"/>
      <w:lvlText w:val="(%1)"/>
      <w:numFmt w:val="decimal"/>
      <w:start w:val="3"/>
    </w:lvl>
  </w:abstractNum>
  <w:abstractNum w:abstractNumId="91">
    <w:nsid w:val="6AA7B75C"/>
    <w:multiLevelType w:val="hybridMultilevel"/>
    <w:lvl w:ilvl="0">
      <w:lvlJc w:val="left"/>
      <w:lvlText w:val="*"/>
      <w:numFmt w:val="bullet"/>
      <w:start w:val="1"/>
    </w:lvl>
  </w:abstractNum>
  <w:abstractNum w:abstractNumId="92">
    <w:nsid w:val="1DF029D3"/>
    <w:multiLevelType w:val="hybridMultilevel"/>
    <w:lvl w:ilvl="0">
      <w:lvlJc w:val="left"/>
      <w:lvlText w:val="(%1)"/>
      <w:numFmt w:val="decimal"/>
      <w:start w:val="1"/>
    </w:lvl>
  </w:abstractNum>
  <w:abstractNum w:abstractNumId="93">
    <w:nsid w:val="5675FF36"/>
    <w:multiLevelType w:val="hybridMultilevel"/>
    <w:lvl w:ilvl="0">
      <w:lvlJc w:val="left"/>
      <w:lvlText w:val="(%1)"/>
      <w:numFmt w:val="decimal"/>
      <w:start w:val="1"/>
    </w:lvl>
  </w:abstractNum>
  <w:abstractNum w:abstractNumId="94">
    <w:nsid w:val="3DD15094"/>
    <w:multiLevelType w:val="hybridMultilevel"/>
    <w:lvl w:ilvl="0">
      <w:lvlJc w:val="left"/>
      <w:lvlText w:val="(%1)"/>
      <w:numFmt w:val="decimal"/>
      <w:start w:val="3"/>
    </w:lvl>
  </w:abstractNum>
  <w:abstractNum w:abstractNumId="95">
    <w:nsid w:val="3DB012B3"/>
    <w:multiLevelType w:val="hybridMultilevel"/>
    <w:lvl w:ilvl="0">
      <w:lvlJc w:val="left"/>
      <w:lvlText w:val="*"/>
      <w:numFmt w:val="bullet"/>
      <w:start w:val="1"/>
    </w:lvl>
  </w:abstractNum>
  <w:abstractNum w:abstractNumId="96">
    <w:nsid w:val="2708C9AF"/>
    <w:multiLevelType w:val="hybridMultilevel"/>
    <w:lvl w:ilvl="0">
      <w:lvlJc w:val="left"/>
      <w:lvlText w:val="%1"/>
      <w:numFmt w:val="decimal"/>
      <w:start w:val="18"/>
    </w:lvl>
  </w:abstractNum>
  <w:abstractNum w:abstractNumId="97">
    <w:nsid w:val="5B25ACE2"/>
    <w:multiLevelType w:val="hybridMultilevel"/>
    <w:lvl w:ilvl="0">
      <w:lvlJc w:val="left"/>
      <w:lvlText w:val="%1"/>
      <w:numFmt w:val="decimal"/>
      <w:start w:val="18"/>
    </w:lvl>
  </w:abstractNum>
  <w:abstractNum w:abstractNumId="98">
    <w:nsid w:val="175DFCF0"/>
    <w:multiLevelType w:val="hybridMultilevel"/>
    <w:lvl w:ilvl="0">
      <w:lvlJc w:val="left"/>
      <w:lvlText w:val="%1"/>
      <w:numFmt w:val="decimal"/>
      <w:start w:val="17"/>
    </w:lvl>
  </w:abstractNum>
  <w:abstractNum w:abstractNumId="99">
    <w:nsid w:val="4F97E3E4"/>
    <w:multiLevelType w:val="hybridMultilevel"/>
    <w:lvl w:ilvl="0">
      <w:lvlJc w:val="left"/>
      <w:lvlText w:val="%1"/>
      <w:numFmt w:val="decimal"/>
      <w:start w:val="17"/>
    </w:lvl>
  </w:abstractNum>
  <w:abstractNum w:abstractNumId="100">
    <w:nsid w:val="53B0A9E"/>
    <w:multiLevelType w:val="hybridMultilevel"/>
    <w:lvl w:ilvl="0">
      <w:lvlJc w:val="left"/>
      <w:lvlText w:val="%1"/>
      <w:numFmt w:val="decimal"/>
      <w:start w:val="17"/>
    </w:lvl>
  </w:abstractNum>
  <w:abstractNum w:abstractNumId="101">
    <w:nsid w:val="34FD6B4F"/>
    <w:multiLevelType w:val="hybridMultilevel"/>
    <w:lvl w:ilvl="0">
      <w:lvlJc w:val="left"/>
      <w:lvlText w:val="%1"/>
      <w:numFmt w:val="decimal"/>
      <w:start w:val="13"/>
    </w:lvl>
  </w:abstractNum>
  <w:abstractNum w:abstractNumId="102">
    <w:nsid w:val="5915FF32"/>
    <w:multiLevelType w:val="hybridMultilevel"/>
    <w:lvl w:ilvl="0">
      <w:lvlJc w:val="left"/>
      <w:lvlText w:val="%1"/>
      <w:numFmt w:val="decimal"/>
      <w:start w:val="19"/>
    </w:lvl>
  </w:abstractNum>
  <w:abstractNum w:abstractNumId="103">
    <w:nsid w:val="56438D15"/>
    <w:multiLevelType w:val="hybridMultilevel"/>
    <w:lvl w:ilvl="0">
      <w:lvlJc w:val="left"/>
      <w:lvlText w:val="%1"/>
      <w:numFmt w:val="decimal"/>
      <w:start w:val="18"/>
    </w:lvl>
  </w:abstractNum>
  <w:abstractNum w:abstractNumId="104">
    <w:nsid w:val="519E3149"/>
    <w:multiLevelType w:val="hybridMultilevel"/>
    <w:lvl w:ilvl="0">
      <w:lvlJc w:val="left"/>
      <w:lvlText w:val="%1"/>
      <w:numFmt w:val="decimal"/>
      <w:start w:val="18"/>
    </w:lvl>
  </w:abstractNum>
  <w:abstractNum w:abstractNumId="105">
    <w:nsid w:val="2C6E4AFD"/>
    <w:multiLevelType w:val="hybridMultilevel"/>
    <w:lvl w:ilvl="0">
      <w:lvlJc w:val="left"/>
      <w:lvlText w:val="%1"/>
      <w:numFmt w:val="decimal"/>
      <w:start w:val="16"/>
    </w:lvl>
  </w:abstractNum>
  <w:abstractNum w:abstractNumId="106">
    <w:nsid w:val="17A1B582"/>
    <w:multiLevelType w:val="hybridMultilevel"/>
    <w:lvl w:ilvl="0">
      <w:lvlJc w:val="left"/>
      <w:lvlText w:val="%1"/>
      <w:numFmt w:val="decimal"/>
      <w:start w:val="16"/>
    </w:lvl>
  </w:abstractNum>
  <w:abstractNum w:abstractNumId="107">
    <w:nsid w:val="4DF72E4E"/>
    <w:multiLevelType w:val="hybridMultilevel"/>
    <w:lvl w:ilvl="0">
      <w:lvlJc w:val="left"/>
      <w:lvlText w:val="%1"/>
      <w:numFmt w:val="decimal"/>
      <w:start w:val="13"/>
    </w:lvl>
  </w:abstractNum>
  <w:abstractNum w:abstractNumId="108">
    <w:nsid w:val="5046B5A9"/>
    <w:multiLevelType w:val="hybridMultilevel"/>
    <w:lvl w:ilvl="0">
      <w:lvlJc w:val="left"/>
      <w:lvlText w:val="(%1)"/>
      <w:numFmt w:val="decimal"/>
      <w:start w:val="1"/>
    </w:lvl>
  </w:abstractNum>
  <w:abstractNum w:abstractNumId="109">
    <w:nsid w:val="5D888A08"/>
    <w:multiLevelType w:val="hybridMultilevel"/>
    <w:lvl w:ilvl="0">
      <w:lvlJc w:val="left"/>
      <w:lvlText w:val="%1"/>
      <w:numFmt w:val="decimal"/>
      <w:start w:val="21"/>
    </w:lvl>
  </w:abstractNum>
  <w:abstractNum w:abstractNumId="110">
    <w:nsid w:val="2A082C70"/>
    <w:multiLevelType w:val="hybridMultilevel"/>
    <w:lvl w:ilvl="0">
      <w:lvlJc w:val="left"/>
      <w:lvlText w:val="%1"/>
      <w:numFmt w:val="decimal"/>
      <w:start w:val="28"/>
    </w:lvl>
  </w:abstractNum>
  <w:abstractNum w:abstractNumId="111">
    <w:nsid w:val="5EC6AFD4"/>
    <w:multiLevelType w:val="hybridMultilevel"/>
    <w:lvl w:ilvl="0">
      <w:lvlJc w:val="left"/>
      <w:lvlText w:val="%1"/>
      <w:numFmt w:val="decimal"/>
      <w:start w:val="49"/>
    </w:lvl>
  </w:abstractNum>
  <w:abstractNum w:abstractNumId="112">
    <w:nsid w:val="19E21BB2"/>
    <w:multiLevelType w:val="hybridMultilevel"/>
    <w:lvl w:ilvl="0">
      <w:lvlJc w:val="left"/>
      <w:lvlText w:val="%1"/>
      <w:numFmt w:val="decimal"/>
      <w:start w:val="22"/>
    </w:lvl>
  </w:abstractNum>
  <w:abstractNum w:abstractNumId="113">
    <w:nsid w:val="75E0858A"/>
    <w:multiLevelType w:val="hybridMultilevel"/>
    <w:lvl w:ilvl="0">
      <w:lvlJc w:val="left"/>
      <w:lvlText w:val="%1"/>
      <w:numFmt w:val="decimal"/>
      <w:start w:val="27"/>
    </w:lvl>
  </w:abstractNum>
  <w:abstractNum w:abstractNumId="114">
    <w:nsid w:val="57A61A29"/>
    <w:multiLevelType w:val="hybridMultilevel"/>
    <w:lvl w:ilvl="0">
      <w:lvlJc w:val="left"/>
      <w:lvlText w:val="%1"/>
      <w:numFmt w:val="decimal"/>
      <w:start w:val="49"/>
    </w:lvl>
  </w:abstractNum>
  <w:abstractNum w:abstractNumId="115">
    <w:nsid w:val="5399C654"/>
    <w:multiLevelType w:val="hybridMultilevel"/>
    <w:lvl w:ilvl="0">
      <w:lvlJc w:val="left"/>
      <w:lvlText w:val="%1"/>
      <w:numFmt w:val="decimal"/>
      <w:start w:val="26"/>
    </w:lvl>
  </w:abstractNum>
  <w:abstractNum w:abstractNumId="116">
    <w:nsid w:val="20EE1348"/>
    <w:multiLevelType w:val="hybridMultilevel"/>
    <w:lvl w:ilvl="0">
      <w:lvlJc w:val="left"/>
      <w:lvlText w:val="%1"/>
      <w:numFmt w:val="decimal"/>
      <w:start w:val="44"/>
    </w:lvl>
  </w:abstractNum>
  <w:abstractNum w:abstractNumId="117">
    <w:nsid w:val="4427069A"/>
    <w:multiLevelType w:val="hybridMultilevel"/>
    <w:lvl w:ilvl="0">
      <w:lvlJc w:val="left"/>
      <w:lvlText w:val="%1"/>
      <w:numFmt w:val="decimal"/>
      <w:start w:val="70"/>
    </w:lvl>
  </w:abstractNum>
  <w:abstractNum w:abstractNumId="118">
    <w:nsid w:val="B37E80A"/>
    <w:multiLevelType w:val="hybridMultilevel"/>
    <w:lvl w:ilvl="0">
      <w:lvlJc w:val="left"/>
      <w:lvlText w:val="%1"/>
      <w:numFmt w:val="decimal"/>
      <w:start w:val="27"/>
    </w:lvl>
  </w:abstractNum>
  <w:abstractNum w:abstractNumId="119">
    <w:nsid w:val="2157F6BC"/>
    <w:multiLevelType w:val="hybridMultilevel"/>
    <w:lvl w:ilvl="0">
      <w:lvlJc w:val="left"/>
      <w:lvlText w:val="%1"/>
      <w:numFmt w:val="decimal"/>
      <w:start w:val="44"/>
    </w:lvl>
  </w:abstractNum>
  <w:abstractNum w:abstractNumId="120">
    <w:nsid w:val="704E1DD5"/>
    <w:multiLevelType w:val="hybridMultilevel"/>
    <w:lvl w:ilvl="0">
      <w:lvlJc w:val="left"/>
      <w:lvlText w:val="%1"/>
      <w:numFmt w:val="decimal"/>
      <w:start w:val="71"/>
    </w:lvl>
  </w:abstractNum>
  <w:abstractNum w:abstractNumId="121">
    <w:nsid w:val="57D2F10E"/>
    <w:multiLevelType w:val="hybridMultilevel"/>
    <w:lvl w:ilvl="0">
      <w:lvlJc w:val="left"/>
      <w:lvlText w:val="(%1)"/>
      <w:numFmt w:val="decimal"/>
      <w:start w:val="1"/>
    </w:lvl>
  </w:abstractNum>
  <w:abstractNum w:abstractNumId="122">
    <w:nsid w:val="BFFAE18"/>
    <w:multiLevelType w:val="hybridMultilevel"/>
    <w:lvl w:ilvl="0">
      <w:lvlJc w:val="left"/>
      <w:lvlText w:val="(%1)"/>
      <w:numFmt w:val="decimal"/>
      <w:start w:val="3"/>
    </w:lvl>
  </w:abstractNum>
  <w:abstractNum w:abstractNumId="123">
    <w:nsid w:val="E3E47A8"/>
    <w:multiLevelType w:val="hybridMultilevel"/>
    <w:lvl w:ilvl="0">
      <w:lvlJc w:val="left"/>
      <w:lvlText w:val="(%1)"/>
      <w:numFmt w:val="decimal"/>
      <w:start w:val="1"/>
    </w:lvl>
  </w:abstractNum>
  <w:abstractNum w:abstractNumId="124">
    <w:nsid w:val="2E48F044"/>
    <w:multiLevelType w:val="hybridMultilevel"/>
    <w:lvl w:ilvl="0">
      <w:lvlJc w:val="left"/>
      <w:lvlText w:val="(%1)"/>
      <w:numFmt w:val="decimal"/>
      <w:start w:val="1"/>
    </w:lvl>
  </w:abstractNum>
  <w:abstractNum w:abstractNumId="125">
    <w:nsid w:val="49D0FEAC"/>
    <w:multiLevelType w:val="hybridMultilevel"/>
    <w:lvl w:ilvl="0">
      <w:lvlJc w:val="left"/>
      <w:lvlText w:val="$"/>
      <w:numFmt w:val="bullet"/>
      <w:start w:val="1"/>
    </w:lvl>
  </w:abstractNum>
  <w:abstractNum w:abstractNumId="126">
    <w:nsid w:val="4BEE5A5B"/>
    <w:multiLevelType w:val="hybridMultilevel"/>
    <w:lvl w:ilvl="0">
      <w:lvlJc w:val="left"/>
      <w:lvlText w:val="2"/>
      <w:numFmt w:val="bullet"/>
      <w:start w:val="1"/>
    </w:lvl>
  </w:abstractNum>
  <w:abstractNum w:abstractNumId="127">
    <w:nsid w:val="5551B9F3"/>
    <w:multiLevelType w:val="hybridMultilevel"/>
    <w:lvl w:ilvl="0">
      <w:lvlJc w:val="left"/>
      <w:lvlText w:val="$"/>
      <w:numFmt w:val="bullet"/>
      <w:start w:val="1"/>
    </w:lvl>
  </w:abstractNum>
  <w:abstractNum w:abstractNumId="128">
    <w:nsid w:val="24F6AB8E"/>
    <w:multiLevelType w:val="hybridMultilevel"/>
    <w:lvl w:ilvl="0">
      <w:lvlJc w:val="left"/>
      <w:lvlText w:val="$"/>
      <w:numFmt w:val="bullet"/>
      <w:start w:val="1"/>
    </w:lvl>
  </w:abstractNum>
  <w:abstractNum w:abstractNumId="129">
    <w:nsid w:val="634C574C"/>
    <w:multiLevelType w:val="hybridMultilevel"/>
    <w:lvl w:ilvl="0">
      <w:lvlJc w:val="left"/>
      <w:lvlText w:val="$"/>
      <w:numFmt w:val="bullet"/>
      <w:start w:val="1"/>
    </w:lvl>
  </w:abstractNum>
  <w:abstractNum w:abstractNumId="130">
    <w:nsid w:val="24E99DD7"/>
    <w:multiLevelType w:val="hybridMultilevel"/>
    <w:lvl w:ilvl="0">
      <w:lvlJc w:val="left"/>
      <w:lvlText w:val="$"/>
      <w:numFmt w:val="bullet"/>
      <w:start w:val="1"/>
    </w:lvl>
  </w:abstractNum>
  <w:abstractNum w:abstractNumId="131">
    <w:nsid w:val="2A31B62D"/>
    <w:multiLevelType w:val="hybridMultilevel"/>
    <w:lvl w:ilvl="0">
      <w:lvlJc w:val="left"/>
      <w:lvlText w:val="9"/>
      <w:numFmt w:val="bullet"/>
      <w:start w:val="1"/>
    </w:lvl>
  </w:abstractNum>
  <w:abstractNum w:abstractNumId="132">
    <w:nsid w:val="1849C29B"/>
    <w:multiLevelType w:val="hybridMultilevel"/>
    <w:lvl w:ilvl="0">
      <w:lvlJc w:val="left"/>
      <w:lvlText w:val="$"/>
      <w:numFmt w:val="bullet"/>
      <w:start w:val="1"/>
    </w:lvl>
  </w:abstractNum>
  <w:abstractNum w:abstractNumId="133">
    <w:nsid w:val="7DFF9D09"/>
    <w:multiLevelType w:val="hybridMultilevel"/>
    <w:lvl w:ilvl="0">
      <w:lvlJc w:val="left"/>
      <w:lvlText w:val="$"/>
      <w:numFmt w:val="bullet"/>
      <w:start w:val="1"/>
    </w:lvl>
  </w:abstractNum>
  <w:abstractNum w:abstractNumId="134">
    <w:nsid w:val="754342"/>
    <w:multiLevelType w:val="hybridMultilevel"/>
    <w:lvl w:ilvl="0">
      <w:lvlJc w:val="left"/>
      <w:lvlText w:val="$"/>
      <w:numFmt w:val="bullet"/>
      <w:start w:val="1"/>
    </w:lvl>
  </w:abstractNum>
  <w:abstractNum w:abstractNumId="135">
    <w:nsid w:val="69E7F3E5"/>
    <w:multiLevelType w:val="hybridMultilevel"/>
    <w:lvl w:ilvl="0">
      <w:lvlJc w:val="left"/>
      <w:lvlText w:val="(%1)"/>
      <w:numFmt w:val="decimal"/>
      <w:start w:val="1"/>
    </w:lvl>
  </w:abstractNum>
  <w:abstractNum w:abstractNumId="136">
    <w:nsid w:val="2A6DE806"/>
    <w:multiLevelType w:val="hybridMultilevel"/>
    <w:lvl w:ilvl="0">
      <w:lvlJc w:val="left"/>
      <w:lvlText w:val="(%1)"/>
      <w:numFmt w:val="decimal"/>
      <w:start w:val="1"/>
    </w:lvl>
  </w:abstractNum>
  <w:abstractNum w:abstractNumId="137">
    <w:nsid w:val="1816F8C4"/>
    <w:multiLevelType w:val="hybridMultilevel"/>
    <w:lvl w:ilvl="0">
      <w:lvlJc w:val="left"/>
      <w:lvlText w:val="(%1)"/>
      <w:numFmt w:val="decimal"/>
      <w:start w:val="1"/>
    </w:lvl>
  </w:abstractNum>
  <w:abstractNum w:abstractNumId="138">
    <w:nsid w:val="37DF2233"/>
    <w:multiLevelType w:val="hybridMultilevel"/>
    <w:lvl w:ilvl="0">
      <w:lvlJc w:val="left"/>
      <w:lvlText w:val="(%1)"/>
      <w:numFmt w:val="decimal"/>
      <w:start w:val="1"/>
    </w:lvl>
  </w:abstractNum>
  <w:abstractNum w:abstractNumId="139">
    <w:nsid w:val="7AB49DAF"/>
    <w:multiLevelType w:val="hybridMultilevel"/>
    <w:lvl w:ilvl="0">
      <w:lvlJc w:val="left"/>
      <w:lvlText w:val="•"/>
      <w:numFmt w:val="bullet"/>
      <w:start w:val="1"/>
    </w:lvl>
  </w:abstractNum>
  <w:abstractNum w:abstractNumId="140">
    <w:nsid w:val="759F82CD"/>
    <w:multiLevelType w:val="hybridMultilevel"/>
    <w:lvl w:ilvl="0">
      <w:lvlJc w:val="left"/>
      <w:lvlText w:val="•"/>
      <w:numFmt w:val="bullet"/>
      <w:start w:val="1"/>
    </w:lvl>
  </w:abstractNum>
  <w:abstractNum w:abstractNumId="141">
    <w:nsid w:val="61E74EA3"/>
    <w:multiLevelType w:val="hybridMultilevel"/>
    <w:lvl w:ilvl="0">
      <w:lvlJc w:val="left"/>
      <w:lvlText w:val="*"/>
      <w:numFmt w:val="bullet"/>
      <w:start w:val="1"/>
    </w:lvl>
    <w:lvl w:ilvl="1">
      <w:lvlJc w:val="left"/>
      <w:lvlText w:val="%2"/>
      <w:numFmt w:val="decimal"/>
      <w:start w:val="104"/>
    </w:lvl>
  </w:abstractNum>
  <w:abstractNum w:abstractNumId="142">
    <w:nsid w:val="597B4D84"/>
    <w:multiLevelType w:val="hybridMultilevel"/>
    <w:lvl w:ilvl="0">
      <w:lvlJc w:val="left"/>
      <w:lvlText w:val="%1)"/>
      <w:numFmt w:val="lowerLetter"/>
    </w:lvl>
    <w:lvl w:ilvl="1">
      <w:lvlJc w:val="left"/>
      <w:lvlText w:val="•"/>
      <w:numFmt w:val="bullet"/>
      <w:start w:val="1"/>
    </w:lvl>
  </w:abstractNum>
  <w:abstractNum w:abstractNumId="143">
    <w:nsid w:val="F819E7F"/>
    <w:multiLevelType w:val="hybridMultilevel"/>
    <w:lvl w:ilvl="0">
      <w:lvlJc w:val="left"/>
      <w:lvlText w:val="%1."/>
      <w:numFmt w:val="decimal"/>
      <w:start w:val="1"/>
    </w:lvl>
    <w:lvl w:ilvl="1">
      <w:lvlJc w:val="left"/>
      <w:lvlText w:val="%2."/>
      <w:numFmt w:val="lowerLetter"/>
      <w:start w:val="1"/>
    </w:lvl>
  </w:abstractNum>
  <w:abstractNum w:abstractNumId="144">
    <w:nsid w:val="57C7D42D"/>
    <w:multiLevelType w:val="hybridMultilevel"/>
    <w:lvl w:ilvl="0">
      <w:lvlJc w:val="left"/>
      <w:lvlText w:val="%1."/>
      <w:numFmt w:val="decimal"/>
      <w:start w:val="1"/>
    </w:lvl>
    <w:lvl w:ilvl="1">
      <w:lvlJc w:val="left"/>
      <w:lvlText w:val="%2."/>
      <w:numFmt w:val="lowerLetter"/>
      <w:start w:val="1"/>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4" Type="http://schemas.openxmlformats.org/officeDocument/2006/relationships/image" Target="media/image565.png"/><Relationship Id="rId575" Type="http://schemas.openxmlformats.org/officeDocument/2006/relationships/image" Target="media/image566.png"/><Relationship Id="rId576" Type="http://schemas.openxmlformats.org/officeDocument/2006/relationships/image" Target="media/image567.png"/><Relationship Id="rId577" Type="http://schemas.openxmlformats.org/officeDocument/2006/relationships/image" Target="media/image568.png"/><Relationship Id="rId578" Type="http://schemas.openxmlformats.org/officeDocument/2006/relationships/image" Target="media/image569.png"/><Relationship Id="rId579" Type="http://schemas.openxmlformats.org/officeDocument/2006/relationships/image" Target="media/image570.png"/><Relationship Id="rId580" Type="http://schemas.openxmlformats.org/officeDocument/2006/relationships/image" Target="media/image571.png"/><Relationship Id="rId581" Type="http://schemas.openxmlformats.org/officeDocument/2006/relationships/image" Target="media/image572.png"/><Relationship Id="rId582" Type="http://schemas.openxmlformats.org/officeDocument/2006/relationships/image" Target="media/image573.png"/><Relationship Id="rId583" Type="http://schemas.openxmlformats.org/officeDocument/2006/relationships/image" Target="media/image574.jpeg"/><Relationship Id="rId584" Type="http://schemas.openxmlformats.org/officeDocument/2006/relationships/image" Target="media/image575.png"/><Relationship Id="rId585" Type="http://schemas.openxmlformats.org/officeDocument/2006/relationships/image" Target="media/image576.png"/><Relationship Id="rId586" Type="http://schemas.openxmlformats.org/officeDocument/2006/relationships/image" Target="media/image577.png"/><Relationship Id="rId587" Type="http://schemas.openxmlformats.org/officeDocument/2006/relationships/image" Target="media/image578.png"/><Relationship Id="rId572" Type="http://schemas.openxmlformats.org/officeDocument/2006/relationships/hyperlink" Target="https://www.sec.gov/Archives/edgar/data/310522/000031052219000385/fanniemaecharteractex31.htm" TargetMode="External"/><Relationship Id="rId573" Type="http://schemas.openxmlformats.org/officeDocument/2006/relationships/hyperlink" Target="https://www.sec.gov/Archives/edgar/data/310522/000031052219000116/fanniemae201810k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2024-07-30T06:31:08Z</dcterms:created>
  <dcterms:modified xsi:type="dcterms:W3CDTF">2024-07-30T06:31:08Z</dcterms:modified>
</cp:coreProperties>
</file>